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10">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57BD5269" w:rsidR="00D92BDF" w:rsidRPr="00AD177D"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201</w:t>
      </w:r>
      <w:r w:rsidR="00A210A7">
        <w:rPr>
          <w:rFonts w:asciiTheme="minorHAnsi" w:hAnsiTheme="minorHAnsi" w:cstheme="minorHAnsi"/>
          <w:sz w:val="32"/>
          <w:szCs w:val="32"/>
        </w:rPr>
        <w:t>8</w:t>
      </w:r>
      <w:r>
        <w:rPr>
          <w:rFonts w:asciiTheme="minorHAnsi" w:hAnsiTheme="minorHAnsi" w:cstheme="minorHAnsi"/>
          <w:sz w:val="32"/>
          <w:szCs w:val="32"/>
        </w:rPr>
        <w:t xml:space="preserve"> Grants</w:t>
      </w:r>
    </w:p>
    <w:p w14:paraId="57B956A5" w14:textId="3AC6BF86"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A210A7" w:rsidRPr="009A7CD4">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A210A7" w:rsidRPr="009A7CD4">
        <w:rPr>
          <w:rFonts w:asciiTheme="minorHAnsi" w:hAnsiTheme="minorHAnsi" w:cstheme="minorHAnsi"/>
          <w:b/>
          <w:sz w:val="26"/>
          <w:szCs w:val="26"/>
        </w:rPr>
        <w:t>Nov</w:t>
      </w:r>
      <w:r w:rsidR="009E0D66" w:rsidRPr="009A7CD4">
        <w:rPr>
          <w:rFonts w:asciiTheme="minorHAnsi" w:hAnsiTheme="minorHAnsi" w:cstheme="minorHAnsi"/>
          <w:b/>
          <w:sz w:val="26"/>
          <w:szCs w:val="26"/>
        </w:rPr>
        <w:t xml:space="preserve"> 3</w:t>
      </w:r>
      <w:r w:rsidRPr="009A7CD4">
        <w:rPr>
          <w:rFonts w:asciiTheme="minorHAnsi" w:hAnsiTheme="minorHAnsi" w:cstheme="minorHAnsi"/>
          <w:b/>
          <w:sz w:val="26"/>
          <w:szCs w:val="26"/>
        </w:rPr>
        <w:t>, 201</w:t>
      </w:r>
      <w:r w:rsidR="00A210A7" w:rsidRPr="009A7CD4">
        <w:rPr>
          <w:rFonts w:asciiTheme="minorHAnsi" w:hAnsiTheme="minorHAnsi" w:cstheme="minorHAnsi"/>
          <w:b/>
          <w:sz w:val="26"/>
          <w:szCs w:val="26"/>
        </w:rPr>
        <w:t>7</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4EB64D7A"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r w:rsidR="002237E4">
        <w:rPr>
          <w:rFonts w:asciiTheme="minorHAnsi" w:hAnsiTheme="minorHAnsi" w:cstheme="minorHAnsi"/>
        </w:rPr>
        <w:t>Kristen Wells</w:t>
      </w:r>
    </w:p>
    <w:p w14:paraId="57B956A9" w14:textId="42C71DA2"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r w:rsidR="002237E4">
        <w:rPr>
          <w:rFonts w:asciiTheme="minorHAnsi" w:hAnsiTheme="minorHAnsi" w:cstheme="minorHAnsi"/>
        </w:rPr>
        <w:t>Gadabout Transportation Services, Inc.</w:t>
      </w:r>
    </w:p>
    <w:p w14:paraId="57B956AA" w14:textId="6BC8A14C"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r w:rsidR="002237E4">
        <w:rPr>
          <w:rFonts w:asciiTheme="minorHAnsi" w:hAnsiTheme="minorHAnsi" w:cstheme="minorHAnsi"/>
        </w:rPr>
        <w:t>737 Willow Ave., Ithaca, NY 14850</w:t>
      </w:r>
    </w:p>
    <w:p w14:paraId="57B956AB" w14:textId="0AE0CB76"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r w:rsidR="002237E4">
        <w:rPr>
          <w:rFonts w:asciiTheme="minorHAnsi" w:hAnsiTheme="minorHAnsi" w:cstheme="minorHAnsi"/>
        </w:rPr>
        <w:t>(607) 273-1878</w:t>
      </w:r>
      <w:r w:rsidR="002237E4">
        <w:rPr>
          <w:rFonts w:asciiTheme="minorHAnsi" w:hAnsiTheme="minorHAnsi" w:cstheme="minorHAnsi"/>
        </w:rPr>
        <w:tab/>
      </w:r>
    </w:p>
    <w:p w14:paraId="57B956AC" w14:textId="6CEA221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r w:rsidR="002237E4">
        <w:rPr>
          <w:rFonts w:asciiTheme="minorHAnsi" w:hAnsiTheme="minorHAnsi" w:cstheme="minorHAnsi"/>
        </w:rPr>
        <w:t>kw1@tcatmail.com</w:t>
      </w:r>
    </w:p>
    <w:p w14:paraId="57B956AD" w14:textId="6D2ABD58"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r w:rsidR="002237E4">
        <w:rPr>
          <w:rFonts w:asciiTheme="minorHAnsi" w:hAnsiTheme="minorHAnsi" w:cstheme="minorHAnsi"/>
        </w:rPr>
        <w:t xml:space="preserve"> www.gadaboutbus.org</w:t>
      </w:r>
    </w:p>
    <w:p w14:paraId="57B956AE" w14:textId="77777777" w:rsidR="00D92BDF" w:rsidRPr="00F44633" w:rsidRDefault="00D92BDF" w:rsidP="00E30E96">
      <w:pPr>
        <w:spacing w:line="276" w:lineRule="auto"/>
        <w:rPr>
          <w:rFonts w:asciiTheme="minorHAnsi" w:hAnsiTheme="minorHAnsi" w:cstheme="minorHAnsi"/>
        </w:rPr>
      </w:pPr>
    </w:p>
    <w:p w14:paraId="57B956AF" w14:textId="1BAED5E0"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r w:rsidR="002237E4">
        <w:rPr>
          <w:rFonts w:asciiTheme="minorHAnsi" w:hAnsiTheme="minorHAnsi" w:cstheme="minorHAnsi"/>
        </w:rPr>
        <w:t xml:space="preserve"> Gadabout Operating Assistance</w:t>
      </w:r>
    </w:p>
    <w:p w14:paraId="57B956B0" w14:textId="77777777" w:rsidR="00895FB1" w:rsidRPr="00F44633" w:rsidRDefault="00895FB1" w:rsidP="00E30E96">
      <w:pPr>
        <w:spacing w:line="276" w:lineRule="auto"/>
        <w:rPr>
          <w:rFonts w:asciiTheme="minorHAnsi" w:hAnsiTheme="minorHAnsi" w:cstheme="minorHAnsi"/>
        </w:rPr>
      </w:pPr>
    </w:p>
    <w:p w14:paraId="57B956B1" w14:textId="182F391B"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r w:rsidR="002237E4">
        <w:rPr>
          <w:rFonts w:asciiTheme="minorHAnsi" w:hAnsiTheme="minorHAnsi" w:cstheme="minorHAnsi"/>
        </w:rPr>
        <w:t>Gadabout is requesting $30,000.00 in operating assistance to provide low cost accessible transportation to older adults and people with disabilities.</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4E9B9B96" w:rsidR="00A210A7" w:rsidRDefault="00A210A7" w:rsidP="00A210A7">
      <w:pPr>
        <w:spacing w:line="276" w:lineRule="auto"/>
        <w:rPr>
          <w:rFonts w:asciiTheme="minorHAnsi" w:hAnsiTheme="minorHAnsi" w:cstheme="minorHAnsi"/>
        </w:rPr>
      </w:pPr>
      <w:r>
        <w:rPr>
          <w:rFonts w:asciiTheme="minorHAnsi" w:hAnsiTheme="minorHAnsi" w:cstheme="minorHAnsi"/>
        </w:rPr>
        <w:t>Operating Assistance:     [</w:t>
      </w:r>
      <w:proofErr w:type="gramStart"/>
      <w:r w:rsidR="002237E4">
        <w:rPr>
          <w:rFonts w:asciiTheme="minorHAnsi" w:hAnsiTheme="minorHAnsi" w:cstheme="minorHAnsi"/>
        </w:rPr>
        <w:t>X</w:t>
      </w:r>
      <w:r>
        <w:rPr>
          <w:rFonts w:asciiTheme="minorHAnsi" w:hAnsiTheme="minorHAnsi" w:cstheme="minorHAnsi"/>
        </w:rPr>
        <w:t xml:space="preserve"> ]</w:t>
      </w:r>
      <w:proofErr w:type="gramEnd"/>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   [    ]</w:t>
      </w:r>
    </w:p>
    <w:p w14:paraId="57B956B2" w14:textId="786601F2" w:rsidR="00D92BDF" w:rsidRDefault="00A210A7" w:rsidP="00E30E96">
      <w:pPr>
        <w:spacing w:line="276" w:lineRule="auto"/>
        <w:rPr>
          <w:rFonts w:asciiTheme="minorHAnsi" w:hAnsiTheme="minorHAnsi" w:cstheme="minorHAnsi"/>
        </w:rPr>
      </w:pPr>
      <w:r>
        <w:rPr>
          <w:rFonts w:asciiTheme="minorHAnsi" w:hAnsiTheme="minorHAnsi" w:cstheme="minorHAnsi"/>
        </w:rPr>
        <w:t>Other Capital Project:     [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3D64C8C3" w14:textId="77777777" w:rsidR="002237E4" w:rsidRPr="002237E4" w:rsidRDefault="002237E4" w:rsidP="002237E4">
      <w:pPr>
        <w:spacing w:line="276" w:lineRule="auto"/>
        <w:rPr>
          <w:rFonts w:asciiTheme="minorHAnsi" w:hAnsiTheme="minorHAnsi" w:cs="Arial"/>
        </w:rPr>
      </w:pPr>
      <w:r w:rsidRPr="002237E4">
        <w:rPr>
          <w:rFonts w:asciiTheme="minorHAnsi" w:hAnsiTheme="minorHAnsi" w:cs="Arial"/>
        </w:rPr>
        <w:t xml:space="preserve">This is a continuing project with the goal of supporting Gadabout’s service for transportation to older adults and people with disabilities. </w:t>
      </w:r>
    </w:p>
    <w:p w14:paraId="5E76A6E5" w14:textId="77777777" w:rsidR="002237E4" w:rsidRPr="002237E4" w:rsidRDefault="002237E4" w:rsidP="002237E4">
      <w:pPr>
        <w:spacing w:line="276" w:lineRule="auto"/>
        <w:rPr>
          <w:rFonts w:asciiTheme="minorHAnsi" w:hAnsiTheme="minorHAnsi" w:cstheme="minorHAnsi"/>
        </w:rPr>
      </w:pPr>
    </w:p>
    <w:p w14:paraId="08ED9907" w14:textId="47F72EE6" w:rsidR="002237E4" w:rsidRPr="002237E4" w:rsidRDefault="002237E4" w:rsidP="002237E4">
      <w:pPr>
        <w:spacing w:line="276" w:lineRule="auto"/>
        <w:rPr>
          <w:rFonts w:asciiTheme="minorHAnsi" w:hAnsiTheme="minorHAnsi" w:cs="Arial"/>
        </w:rPr>
      </w:pPr>
      <w:r w:rsidRPr="002237E4">
        <w:rPr>
          <w:rFonts w:asciiTheme="minorHAnsi" w:hAnsiTheme="minorHAnsi" w:cs="Arial"/>
        </w:rPr>
        <w:t xml:space="preserve">Within the last 6 years Gadabout has seen a sizeable increase in expenses. Vehicle insurance and fuel have each increased more than $100,000.00 since 2009. </w:t>
      </w:r>
      <w:r>
        <w:rPr>
          <w:rFonts w:asciiTheme="minorHAnsi" w:hAnsiTheme="minorHAnsi" w:cs="Arial"/>
        </w:rPr>
        <w:t>Although fuel prices have remained low through 2017 we expect a sizeable</w:t>
      </w:r>
      <w:r w:rsidRPr="002237E4">
        <w:rPr>
          <w:rFonts w:asciiTheme="minorHAnsi" w:hAnsiTheme="minorHAnsi" w:cs="Arial"/>
        </w:rPr>
        <w:t xml:space="preserve"> increase </w:t>
      </w:r>
      <w:r>
        <w:rPr>
          <w:rFonts w:asciiTheme="minorHAnsi" w:hAnsiTheme="minorHAnsi" w:cs="Arial"/>
        </w:rPr>
        <w:t>in insurance for 2018</w:t>
      </w:r>
      <w:r w:rsidRPr="002237E4">
        <w:rPr>
          <w:rFonts w:asciiTheme="minorHAnsi" w:hAnsiTheme="minorHAnsi" w:cs="Arial"/>
        </w:rPr>
        <w:t>.</w:t>
      </w:r>
    </w:p>
    <w:p w14:paraId="1E14625C" w14:textId="77777777" w:rsidR="002237E4" w:rsidRPr="002237E4" w:rsidRDefault="002237E4" w:rsidP="002237E4">
      <w:pPr>
        <w:spacing w:line="276" w:lineRule="auto"/>
        <w:rPr>
          <w:rFonts w:asciiTheme="minorHAnsi" w:hAnsiTheme="minorHAnsi" w:cs="Arial"/>
        </w:rPr>
      </w:pPr>
    </w:p>
    <w:p w14:paraId="0F0E1B79" w14:textId="567A1312" w:rsidR="002237E4" w:rsidRPr="006C22E2" w:rsidRDefault="00CE4FBF" w:rsidP="002237E4">
      <w:pPr>
        <w:spacing w:line="276" w:lineRule="auto"/>
        <w:rPr>
          <w:rFonts w:asciiTheme="minorHAnsi" w:hAnsiTheme="minorHAnsi" w:cstheme="minorHAnsi"/>
        </w:rPr>
      </w:pPr>
      <w:r>
        <w:rPr>
          <w:rFonts w:asciiTheme="minorHAnsi" w:hAnsiTheme="minorHAnsi" w:cs="Arial"/>
        </w:rPr>
        <w:t xml:space="preserve">Gadabout’s IT Consultant, </w:t>
      </w:r>
      <w:proofErr w:type="spellStart"/>
      <w:r>
        <w:rPr>
          <w:rFonts w:asciiTheme="minorHAnsi" w:hAnsiTheme="minorHAnsi" w:cs="Arial"/>
        </w:rPr>
        <w:t>Schweigher</w:t>
      </w:r>
      <w:proofErr w:type="spellEnd"/>
      <w:r>
        <w:rPr>
          <w:rFonts w:asciiTheme="minorHAnsi" w:hAnsiTheme="minorHAnsi" w:cs="Arial"/>
        </w:rPr>
        <w:t xml:space="preserve"> Consulting will begin work in November. The IT project</w:t>
      </w:r>
      <w:r w:rsidR="002237E4" w:rsidRPr="002237E4">
        <w:rPr>
          <w:rFonts w:asciiTheme="minorHAnsi" w:hAnsiTheme="minorHAnsi" w:cs="Arial"/>
        </w:rPr>
        <w:t xml:space="preserve"> will bring our scheduling and dispatch systems up to date. The goal is to replace our current systems with one that is more efficient, and that can meet the needs of both clients and staff. In addition, Gadabout hopes to expand service and accommodate same day transportation requests, which is growing need in Tompkins County. </w:t>
      </w:r>
      <w:r w:rsidR="002237E4" w:rsidRPr="00B4589C">
        <w:rPr>
          <w:rFonts w:ascii="Arial" w:hAnsi="Arial" w:cs="Arial"/>
        </w:rPr>
        <w:t xml:space="preserve"> </w:t>
      </w:r>
    </w:p>
    <w:p w14:paraId="6046AA9E" w14:textId="77777777" w:rsidR="002237E4" w:rsidRPr="00F44633" w:rsidRDefault="002237E4" w:rsidP="00E30E96">
      <w:pPr>
        <w:spacing w:line="276" w:lineRule="auto"/>
        <w:rPr>
          <w:rFonts w:asciiTheme="minorHAnsi" w:hAnsiTheme="minorHAnsi" w:cstheme="minorHAnsi"/>
          <w:b/>
        </w:rPr>
      </w:pP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CA1811E" w:rsidR="00D92BDF" w:rsidRDefault="00C20BB5" w:rsidP="00E30E96">
      <w:pPr>
        <w:spacing w:line="276" w:lineRule="auto"/>
        <w:rPr>
          <w:rFonts w:asciiTheme="minorHAnsi" w:hAnsiTheme="minorHAnsi" w:cs="Arial"/>
          <w:color w:val="000000"/>
        </w:rPr>
      </w:pPr>
      <w:r w:rsidRPr="00C20BB5">
        <w:rPr>
          <w:rFonts w:asciiTheme="minorHAnsi" w:hAnsiTheme="minorHAnsi" w:cs="Arial"/>
          <w:color w:val="000000"/>
        </w:rPr>
        <w:t>Gadabout provides service to people over the age of 60 and individuals of any age that have a disability that interferes with their use of public transportation. By providing low cost transportation, people in the target population will have access to work, medical appointments, grocery shopping, and other commitments within the community which they would have no other comparable means of transportation.</w:t>
      </w:r>
    </w:p>
    <w:p w14:paraId="0C066B44" w14:textId="77777777" w:rsidR="00C20BB5" w:rsidRPr="00C20BB5" w:rsidRDefault="00C20BB5" w:rsidP="00E30E96">
      <w:pPr>
        <w:spacing w:line="276" w:lineRule="auto"/>
        <w:rPr>
          <w:rFonts w:asciiTheme="minorHAnsi" w:hAnsiTheme="minorHAnsi" w:cstheme="minorHAnsi"/>
          <w:color w:val="000000"/>
        </w:rPr>
      </w:pPr>
    </w:p>
    <w:p w14:paraId="57B956B9" w14:textId="62E8C69E"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r w:rsidR="00C20BB5" w:rsidRPr="00B4589C">
        <w:rPr>
          <w:rFonts w:ascii="Arial" w:hAnsi="Arial" w:cs="Arial"/>
          <w:color w:val="3E382A"/>
        </w:rPr>
        <w:t>By coordinating transportation</w:t>
      </w:r>
      <w:r w:rsidR="00C20BB5">
        <w:rPr>
          <w:rFonts w:ascii="Arial" w:hAnsi="Arial" w:cs="Arial"/>
          <w:color w:val="3E382A"/>
        </w:rPr>
        <w:t>,</w:t>
      </w:r>
      <w:r w:rsidR="00C20BB5" w:rsidRPr="00B4589C">
        <w:rPr>
          <w:rFonts w:ascii="Arial" w:hAnsi="Arial" w:cs="Arial"/>
          <w:color w:val="3E382A"/>
        </w:rPr>
        <w:t xml:space="preserve"> various agencies (employers, assistive living facilities, etc.) would not have to provide the transportation themselves for their clients, residents, and employees. This helps prevent the duplication of transportation service, and would save other agencies the cost of maintaining their own para-transit vehicles, driving staff, licensing, testing, and insurance</w:t>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7B956BB" w14:textId="77777777"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246FA7A1" w14:textId="77777777" w:rsidR="00C20BB5" w:rsidRDefault="00C20BB5" w:rsidP="00E30E96">
      <w:pPr>
        <w:spacing w:line="276" w:lineRule="auto"/>
        <w:rPr>
          <w:rFonts w:asciiTheme="minorHAnsi" w:hAnsiTheme="minorHAnsi" w:cstheme="minorHAnsi"/>
          <w:color w:val="000000"/>
        </w:rPr>
      </w:pPr>
    </w:p>
    <w:p w14:paraId="6A7E9CDC" w14:textId="276D54FD" w:rsidR="00C20BB5" w:rsidRDefault="00C20BB5" w:rsidP="00E30E96">
      <w:pPr>
        <w:spacing w:line="276" w:lineRule="auto"/>
        <w:rPr>
          <w:rFonts w:asciiTheme="minorHAnsi" w:hAnsiTheme="minorHAnsi" w:cstheme="minorHAnsi"/>
          <w:color w:val="000000"/>
        </w:rPr>
      </w:pPr>
      <w:r>
        <w:rPr>
          <w:rFonts w:asciiTheme="minorHAnsi" w:hAnsiTheme="minorHAnsi" w:cstheme="minorHAnsi"/>
          <w:color w:val="000000"/>
        </w:rPr>
        <w:t>50,000 total annual trips – 25,000 ADA Trips= 25,000 ADA Trips</w:t>
      </w:r>
    </w:p>
    <w:p w14:paraId="28622F2D" w14:textId="5CB644CD" w:rsidR="00C20BB5" w:rsidRPr="00C20BB5" w:rsidRDefault="00B717FF" w:rsidP="00E30E96">
      <w:pPr>
        <w:spacing w:line="276" w:lineRule="auto"/>
        <w:rPr>
          <w:rFonts w:asciiTheme="minorHAnsi" w:hAnsiTheme="minorHAnsi" w:cstheme="minorHAnsi"/>
          <w:color w:val="000000"/>
        </w:rPr>
      </w:pPr>
      <w:r>
        <w:rPr>
          <w:rFonts w:asciiTheme="minorHAnsi" w:hAnsiTheme="minorHAnsi" w:cstheme="minorHAnsi"/>
          <w:color w:val="000000"/>
        </w:rPr>
        <w:t>1,650,000.00 total expense/50,000= $33.00 cost per trip</w:t>
      </w:r>
    </w:p>
    <w:p w14:paraId="57B956C0" w14:textId="77777777" w:rsidR="006D03DE" w:rsidRDefault="006D03DE" w:rsidP="00E30E96">
      <w:pPr>
        <w:spacing w:line="276" w:lineRule="auto"/>
        <w:rPr>
          <w:rFonts w:asciiTheme="minorHAnsi" w:hAnsiTheme="minorHAnsi" w:cstheme="minorHAnsi"/>
          <w:color w:val="000000"/>
        </w:rPr>
      </w:pPr>
    </w:p>
    <w:p w14:paraId="33F92B58" w14:textId="77777777" w:rsidR="00C20BB5" w:rsidRPr="00F44633" w:rsidRDefault="00C20BB5" w:rsidP="00E30E96">
      <w:pPr>
        <w:spacing w:line="276" w:lineRule="auto"/>
        <w:rPr>
          <w:rFonts w:asciiTheme="minorHAnsi" w:hAnsiTheme="minorHAnsi" w:cstheme="minorHAnsi"/>
          <w:color w:val="000000"/>
        </w:rPr>
      </w:pPr>
    </w:p>
    <w:p w14:paraId="57B956C1" w14:textId="0CD1EA72" w:rsidR="00D92BDF" w:rsidRPr="00F44633"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618"/>
        <w:gridCol w:w="2766"/>
        <w:gridCol w:w="3192"/>
      </w:tblGrid>
      <w:tr w:rsidR="006D03DE" w:rsidRPr="00F44633" w14:paraId="57B956C6" w14:textId="77777777" w:rsidTr="00B717FF">
        <w:tc>
          <w:tcPr>
            <w:tcW w:w="3618"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Expenses</w:t>
            </w:r>
          </w:p>
        </w:tc>
        <w:tc>
          <w:tcPr>
            <w:tcW w:w="2766" w:type="dxa"/>
          </w:tcPr>
          <w:p w14:paraId="57B956C4" w14:textId="298951AB" w:rsidR="006D03DE" w:rsidRPr="00F44633" w:rsidRDefault="00B64270" w:rsidP="00E30E96">
            <w:pPr>
              <w:spacing w:line="276" w:lineRule="auto"/>
              <w:ind w:right="-720"/>
              <w:rPr>
                <w:rFonts w:asciiTheme="minorHAnsi" w:hAnsiTheme="minorHAnsi" w:cstheme="minorHAnsi"/>
                <w:color w:val="3E382A"/>
              </w:rPr>
            </w:pPr>
            <w:r>
              <w:rPr>
                <w:rFonts w:asciiTheme="minorHAnsi" w:hAnsiTheme="minorHAnsi" w:cstheme="minorHAnsi"/>
                <w:color w:val="3E382A"/>
              </w:rPr>
              <w:t>1,620</w:t>
            </w:r>
            <w:r w:rsidR="00B717FF">
              <w:rPr>
                <w:rFonts w:asciiTheme="minorHAnsi" w:hAnsiTheme="minorHAnsi" w:cstheme="minorHAnsi"/>
                <w:color w:val="3E382A"/>
              </w:rPr>
              <w:t>,000.00</w:t>
            </w: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B717FF">
        <w:tc>
          <w:tcPr>
            <w:tcW w:w="3618"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2766"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B717FF">
        <w:tc>
          <w:tcPr>
            <w:tcW w:w="3618"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2766"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B717FF" w:rsidRPr="00F44633" w14:paraId="27A17594" w14:textId="77777777" w:rsidTr="00B717FF">
        <w:tc>
          <w:tcPr>
            <w:tcW w:w="3618" w:type="dxa"/>
          </w:tcPr>
          <w:p w14:paraId="4C295709" w14:textId="7828883A"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Fares</w:t>
            </w:r>
          </w:p>
        </w:tc>
        <w:tc>
          <w:tcPr>
            <w:tcW w:w="2766" w:type="dxa"/>
          </w:tcPr>
          <w:p w14:paraId="68FCD05B" w14:textId="7E678194"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120,000.00</w:t>
            </w:r>
          </w:p>
        </w:tc>
        <w:tc>
          <w:tcPr>
            <w:tcW w:w="3192" w:type="dxa"/>
          </w:tcPr>
          <w:p w14:paraId="45D215F7"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5A58B30E" w14:textId="77777777" w:rsidTr="00B717FF">
        <w:tc>
          <w:tcPr>
            <w:tcW w:w="3618" w:type="dxa"/>
          </w:tcPr>
          <w:p w14:paraId="2E7AA03F" w14:textId="45FF14A1"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ADA Paratransit</w:t>
            </w:r>
          </w:p>
        </w:tc>
        <w:tc>
          <w:tcPr>
            <w:tcW w:w="2766" w:type="dxa"/>
          </w:tcPr>
          <w:p w14:paraId="31626C00" w14:textId="713437D5"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560,000.00</w:t>
            </w:r>
          </w:p>
        </w:tc>
        <w:tc>
          <w:tcPr>
            <w:tcW w:w="3192" w:type="dxa"/>
          </w:tcPr>
          <w:p w14:paraId="27D6110C"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732D36D3" w14:textId="77777777" w:rsidTr="00B717FF">
        <w:tc>
          <w:tcPr>
            <w:tcW w:w="3618" w:type="dxa"/>
          </w:tcPr>
          <w:p w14:paraId="53AC91A7" w14:textId="1623351F"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Agency Services Incl. New Freedom</w:t>
            </w:r>
          </w:p>
        </w:tc>
        <w:tc>
          <w:tcPr>
            <w:tcW w:w="2766" w:type="dxa"/>
          </w:tcPr>
          <w:p w14:paraId="1E5CA017" w14:textId="7B4EECF2"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84,960.00</w:t>
            </w:r>
          </w:p>
        </w:tc>
        <w:tc>
          <w:tcPr>
            <w:tcW w:w="3192" w:type="dxa"/>
          </w:tcPr>
          <w:p w14:paraId="627665D3"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18DCB053" w14:textId="77777777" w:rsidTr="00B717FF">
        <w:tc>
          <w:tcPr>
            <w:tcW w:w="3618" w:type="dxa"/>
          </w:tcPr>
          <w:p w14:paraId="7359885C" w14:textId="7269C8D4"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Group Use</w:t>
            </w:r>
          </w:p>
        </w:tc>
        <w:tc>
          <w:tcPr>
            <w:tcW w:w="2766" w:type="dxa"/>
          </w:tcPr>
          <w:p w14:paraId="4CD12A35" w14:textId="1DE508CF"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8,200.00</w:t>
            </w:r>
          </w:p>
        </w:tc>
        <w:tc>
          <w:tcPr>
            <w:tcW w:w="3192" w:type="dxa"/>
          </w:tcPr>
          <w:p w14:paraId="0F4D059A"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106449A4" w14:textId="77777777" w:rsidTr="00B717FF">
        <w:tc>
          <w:tcPr>
            <w:tcW w:w="3618" w:type="dxa"/>
          </w:tcPr>
          <w:p w14:paraId="4C9B33FA" w14:textId="5F4A6C51"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Municipal</w:t>
            </w:r>
          </w:p>
        </w:tc>
        <w:tc>
          <w:tcPr>
            <w:tcW w:w="2766" w:type="dxa"/>
          </w:tcPr>
          <w:p w14:paraId="7925EEF5" w14:textId="6CE44D05" w:rsidR="00B717FF" w:rsidRPr="00F44633" w:rsidRDefault="000C4A1B" w:rsidP="00E30E96">
            <w:pPr>
              <w:spacing w:line="276" w:lineRule="auto"/>
              <w:ind w:right="-720"/>
              <w:rPr>
                <w:rFonts w:asciiTheme="minorHAnsi" w:hAnsiTheme="minorHAnsi" w:cstheme="minorHAnsi"/>
                <w:color w:val="3E382A"/>
              </w:rPr>
            </w:pPr>
            <w:r>
              <w:rPr>
                <w:rFonts w:asciiTheme="minorHAnsi" w:hAnsiTheme="minorHAnsi" w:cstheme="minorHAnsi"/>
                <w:color w:val="3E382A"/>
              </w:rPr>
              <w:t>192</w:t>
            </w:r>
            <w:r w:rsidR="008E0404">
              <w:rPr>
                <w:rFonts w:asciiTheme="minorHAnsi" w:hAnsiTheme="minorHAnsi" w:cstheme="minorHAnsi"/>
                <w:color w:val="3E382A"/>
              </w:rPr>
              <w:t>,700.00</w:t>
            </w:r>
          </w:p>
        </w:tc>
        <w:tc>
          <w:tcPr>
            <w:tcW w:w="3192" w:type="dxa"/>
          </w:tcPr>
          <w:p w14:paraId="3F4D37D9"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74C39F4F" w14:textId="77777777" w:rsidTr="00B717FF">
        <w:tc>
          <w:tcPr>
            <w:tcW w:w="3618" w:type="dxa"/>
          </w:tcPr>
          <w:p w14:paraId="56C1AEE6" w14:textId="452A50A4"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STOA</w:t>
            </w:r>
          </w:p>
        </w:tc>
        <w:tc>
          <w:tcPr>
            <w:tcW w:w="2766" w:type="dxa"/>
          </w:tcPr>
          <w:p w14:paraId="5F5F9B2C" w14:textId="53F18D1A" w:rsidR="00B717FF" w:rsidRPr="00F44633" w:rsidRDefault="008E0404" w:rsidP="00E30E96">
            <w:pPr>
              <w:spacing w:line="276" w:lineRule="auto"/>
              <w:ind w:right="-720"/>
              <w:rPr>
                <w:rFonts w:asciiTheme="minorHAnsi" w:hAnsiTheme="minorHAnsi" w:cstheme="minorHAnsi"/>
                <w:color w:val="3E382A"/>
              </w:rPr>
            </w:pPr>
            <w:r>
              <w:rPr>
                <w:rFonts w:asciiTheme="minorHAnsi" w:hAnsiTheme="minorHAnsi" w:cstheme="minorHAnsi"/>
                <w:color w:val="3E382A"/>
              </w:rPr>
              <w:t>485,000.00</w:t>
            </w:r>
          </w:p>
        </w:tc>
        <w:tc>
          <w:tcPr>
            <w:tcW w:w="3192" w:type="dxa"/>
          </w:tcPr>
          <w:p w14:paraId="71D0DD38"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3ADB73CE" w14:textId="77777777" w:rsidTr="00B717FF">
        <w:tc>
          <w:tcPr>
            <w:tcW w:w="3618" w:type="dxa"/>
          </w:tcPr>
          <w:p w14:paraId="58B2BEE7" w14:textId="03648F08"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Individual Donations/Fundraising</w:t>
            </w:r>
          </w:p>
        </w:tc>
        <w:tc>
          <w:tcPr>
            <w:tcW w:w="2766" w:type="dxa"/>
          </w:tcPr>
          <w:p w14:paraId="5C529C2D" w14:textId="297C8A4A" w:rsidR="00B717FF" w:rsidRPr="00F44633" w:rsidRDefault="008E0404" w:rsidP="00E30E96">
            <w:pPr>
              <w:spacing w:line="276" w:lineRule="auto"/>
              <w:ind w:right="-720"/>
              <w:rPr>
                <w:rFonts w:asciiTheme="minorHAnsi" w:hAnsiTheme="minorHAnsi" w:cstheme="minorHAnsi"/>
                <w:color w:val="3E382A"/>
              </w:rPr>
            </w:pPr>
            <w:r>
              <w:rPr>
                <w:rFonts w:asciiTheme="minorHAnsi" w:hAnsiTheme="minorHAnsi" w:cstheme="minorHAnsi"/>
                <w:color w:val="3E382A"/>
              </w:rPr>
              <w:t>70,000.00</w:t>
            </w:r>
          </w:p>
        </w:tc>
        <w:tc>
          <w:tcPr>
            <w:tcW w:w="3192" w:type="dxa"/>
          </w:tcPr>
          <w:p w14:paraId="683E58A4"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6852CFDC" w14:textId="77777777" w:rsidTr="00B717FF">
        <w:tc>
          <w:tcPr>
            <w:tcW w:w="3618" w:type="dxa"/>
          </w:tcPr>
          <w:p w14:paraId="40439A60" w14:textId="4BFD0788" w:rsidR="00B717FF" w:rsidRPr="00F44633" w:rsidRDefault="00B717FF" w:rsidP="00E30E96">
            <w:pPr>
              <w:spacing w:line="276" w:lineRule="auto"/>
              <w:ind w:right="-720"/>
              <w:rPr>
                <w:rFonts w:asciiTheme="minorHAnsi" w:hAnsiTheme="minorHAnsi" w:cstheme="minorHAnsi"/>
                <w:color w:val="3E382A"/>
              </w:rPr>
            </w:pPr>
            <w:r>
              <w:rPr>
                <w:rFonts w:asciiTheme="minorHAnsi" w:hAnsiTheme="minorHAnsi" w:cstheme="minorHAnsi"/>
                <w:color w:val="3E382A"/>
              </w:rPr>
              <w:t>Donated Services (Drivers)</w:t>
            </w:r>
          </w:p>
        </w:tc>
        <w:tc>
          <w:tcPr>
            <w:tcW w:w="2766" w:type="dxa"/>
          </w:tcPr>
          <w:p w14:paraId="7C8620D9" w14:textId="5CC0C045" w:rsidR="00B717FF" w:rsidRPr="00F44633" w:rsidRDefault="008E0404" w:rsidP="00E30E96">
            <w:pPr>
              <w:spacing w:line="276" w:lineRule="auto"/>
              <w:ind w:right="-720"/>
              <w:rPr>
                <w:rFonts w:asciiTheme="minorHAnsi" w:hAnsiTheme="minorHAnsi" w:cstheme="minorHAnsi"/>
                <w:color w:val="3E382A"/>
              </w:rPr>
            </w:pPr>
            <w:r>
              <w:rPr>
                <w:rFonts w:asciiTheme="minorHAnsi" w:hAnsiTheme="minorHAnsi" w:cstheme="minorHAnsi"/>
                <w:color w:val="3E382A"/>
              </w:rPr>
              <w:t>60,000.00</w:t>
            </w:r>
          </w:p>
        </w:tc>
        <w:tc>
          <w:tcPr>
            <w:tcW w:w="3192" w:type="dxa"/>
          </w:tcPr>
          <w:p w14:paraId="40A72C14" w14:textId="77777777" w:rsidR="00B717FF" w:rsidRPr="00F44633" w:rsidRDefault="00B717FF" w:rsidP="00E30E96">
            <w:pPr>
              <w:spacing w:line="276" w:lineRule="auto"/>
              <w:ind w:right="-720"/>
              <w:rPr>
                <w:rFonts w:asciiTheme="minorHAnsi" w:hAnsiTheme="minorHAnsi" w:cstheme="minorHAnsi"/>
                <w:color w:val="3E382A"/>
              </w:rPr>
            </w:pPr>
          </w:p>
        </w:tc>
      </w:tr>
      <w:tr w:rsidR="00B717FF" w:rsidRPr="00F44633" w14:paraId="63C6391C" w14:textId="77777777" w:rsidTr="00B717FF">
        <w:tc>
          <w:tcPr>
            <w:tcW w:w="3618" w:type="dxa"/>
          </w:tcPr>
          <w:p w14:paraId="545A73C4" w14:textId="1FEDBC8F" w:rsidR="00B717FF" w:rsidRPr="00F44633" w:rsidRDefault="00B717FF" w:rsidP="00E30E96">
            <w:pPr>
              <w:spacing w:line="276" w:lineRule="auto"/>
              <w:ind w:right="-720"/>
              <w:rPr>
                <w:rFonts w:asciiTheme="minorHAnsi" w:hAnsiTheme="minorHAnsi" w:cstheme="minorHAnsi"/>
                <w:color w:val="3E382A"/>
              </w:rPr>
            </w:pPr>
            <w:proofErr w:type="spellStart"/>
            <w:r>
              <w:rPr>
                <w:rFonts w:asciiTheme="minorHAnsi" w:hAnsiTheme="minorHAnsi" w:cstheme="minorHAnsi"/>
                <w:color w:val="3E382A"/>
              </w:rPr>
              <w:t>Misc</w:t>
            </w:r>
            <w:proofErr w:type="spellEnd"/>
            <w:r>
              <w:rPr>
                <w:rFonts w:asciiTheme="minorHAnsi" w:hAnsiTheme="minorHAnsi" w:cstheme="minorHAnsi"/>
                <w:color w:val="3E382A"/>
              </w:rPr>
              <w:t xml:space="preserve"> (Interest, Housing Contribution)</w:t>
            </w:r>
          </w:p>
        </w:tc>
        <w:tc>
          <w:tcPr>
            <w:tcW w:w="2766" w:type="dxa"/>
          </w:tcPr>
          <w:p w14:paraId="2D181014" w14:textId="699CF267" w:rsidR="00B717FF" w:rsidRPr="00F44633" w:rsidRDefault="008E0404" w:rsidP="00E30E96">
            <w:pPr>
              <w:spacing w:line="276" w:lineRule="auto"/>
              <w:ind w:right="-720"/>
              <w:rPr>
                <w:rFonts w:asciiTheme="minorHAnsi" w:hAnsiTheme="minorHAnsi" w:cstheme="minorHAnsi"/>
                <w:color w:val="3E382A"/>
              </w:rPr>
            </w:pPr>
            <w:r>
              <w:rPr>
                <w:rFonts w:asciiTheme="minorHAnsi" w:hAnsiTheme="minorHAnsi" w:cstheme="minorHAnsi"/>
                <w:color w:val="3E382A"/>
              </w:rPr>
              <w:t>1,000.00</w:t>
            </w:r>
          </w:p>
        </w:tc>
        <w:tc>
          <w:tcPr>
            <w:tcW w:w="3192" w:type="dxa"/>
          </w:tcPr>
          <w:p w14:paraId="0F2D9BFF" w14:textId="77777777" w:rsidR="00B717FF" w:rsidRPr="00F44633" w:rsidRDefault="00B717FF" w:rsidP="00E30E96">
            <w:pPr>
              <w:spacing w:line="276" w:lineRule="auto"/>
              <w:ind w:right="-720"/>
              <w:rPr>
                <w:rFonts w:asciiTheme="minorHAnsi" w:hAnsiTheme="minorHAnsi" w:cstheme="minorHAnsi"/>
                <w:color w:val="3E382A"/>
              </w:rPr>
            </w:pPr>
          </w:p>
        </w:tc>
      </w:tr>
      <w:tr w:rsidR="007E43C9" w:rsidRPr="00F44633" w14:paraId="57B956D2" w14:textId="77777777" w:rsidTr="00B717FF">
        <w:tc>
          <w:tcPr>
            <w:tcW w:w="3618" w:type="dxa"/>
          </w:tcPr>
          <w:p w14:paraId="57B956CF" w14:textId="450C435E" w:rsidR="007E43C9" w:rsidRPr="00F44633" w:rsidRDefault="008E0404" w:rsidP="00E30E96">
            <w:pPr>
              <w:spacing w:line="276" w:lineRule="auto"/>
              <w:ind w:right="-720"/>
              <w:rPr>
                <w:rFonts w:asciiTheme="minorHAnsi" w:hAnsiTheme="minorHAnsi" w:cstheme="minorHAnsi"/>
                <w:color w:val="3E382A"/>
              </w:rPr>
            </w:pPr>
            <w:r>
              <w:rPr>
                <w:rFonts w:asciiTheme="minorHAnsi" w:hAnsiTheme="minorHAnsi" w:cstheme="minorHAnsi"/>
                <w:color w:val="3E382A"/>
              </w:rPr>
              <w:t>FTA</w:t>
            </w:r>
          </w:p>
        </w:tc>
        <w:tc>
          <w:tcPr>
            <w:tcW w:w="2766" w:type="dxa"/>
          </w:tcPr>
          <w:p w14:paraId="57B956D0" w14:textId="22A9429A" w:rsidR="007E43C9" w:rsidRPr="00F44633" w:rsidRDefault="00B64270" w:rsidP="00E30E96">
            <w:pPr>
              <w:spacing w:line="276" w:lineRule="auto"/>
              <w:ind w:right="-720"/>
              <w:rPr>
                <w:rFonts w:asciiTheme="minorHAnsi" w:hAnsiTheme="minorHAnsi" w:cstheme="minorHAnsi"/>
                <w:color w:val="3E382A"/>
              </w:rPr>
            </w:pPr>
            <w:r>
              <w:rPr>
                <w:rFonts w:asciiTheme="minorHAnsi" w:hAnsiTheme="minorHAnsi" w:cstheme="minorHAnsi"/>
                <w:color w:val="3E382A"/>
              </w:rPr>
              <w:t>30</w:t>
            </w:r>
            <w:r w:rsidR="008E0404">
              <w:rPr>
                <w:rFonts w:asciiTheme="minorHAnsi" w:hAnsiTheme="minorHAnsi" w:cstheme="minorHAnsi"/>
                <w:color w:val="3E382A"/>
              </w:rPr>
              <w:t>,000.00</w:t>
            </w: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B717FF">
        <w:tc>
          <w:tcPr>
            <w:tcW w:w="3618"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2766" w:type="dxa"/>
          </w:tcPr>
          <w:p w14:paraId="57B956D4" w14:textId="637E6E52" w:rsidR="006D03DE" w:rsidRPr="00F44633" w:rsidRDefault="00B64270" w:rsidP="00E30E96">
            <w:pPr>
              <w:spacing w:line="276" w:lineRule="auto"/>
              <w:ind w:right="-720"/>
              <w:rPr>
                <w:rFonts w:asciiTheme="minorHAnsi" w:hAnsiTheme="minorHAnsi" w:cstheme="minorHAnsi"/>
                <w:color w:val="3E382A"/>
              </w:rPr>
            </w:pPr>
            <w:r>
              <w:rPr>
                <w:rFonts w:asciiTheme="minorHAnsi" w:hAnsiTheme="minorHAnsi" w:cstheme="minorHAnsi"/>
                <w:color w:val="3E382A"/>
              </w:rPr>
              <w:t>(9</w:t>
            </w:r>
            <w:r w:rsidR="000C4A1B">
              <w:rPr>
                <w:rFonts w:asciiTheme="minorHAnsi" w:hAnsiTheme="minorHAnsi" w:cstheme="minorHAnsi"/>
                <w:color w:val="3E382A"/>
              </w:rPr>
              <w:t>,0</w:t>
            </w:r>
            <w:bookmarkStart w:id="0" w:name="_GoBack"/>
            <w:bookmarkEnd w:id="0"/>
            <w:r w:rsidR="008E0404">
              <w:rPr>
                <w:rFonts w:asciiTheme="minorHAnsi" w:hAnsiTheme="minorHAnsi" w:cstheme="minorHAnsi"/>
                <w:color w:val="3E382A"/>
              </w:rPr>
              <w:t>40.00)</w:t>
            </w: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50453E73" w:rsidR="00D92BDF" w:rsidRPr="00F44633" w:rsidRDefault="00D92BDF" w:rsidP="00A210A7">
      <w:pPr>
        <w:spacing w:line="276" w:lineRule="auto"/>
        <w:ind w:left="-630" w:right="-720" w:firstLine="630"/>
        <w:rPr>
          <w:rFonts w:asciiTheme="minorHAnsi" w:hAnsiTheme="minorHAnsi" w:cstheme="minorHAnsi"/>
          <w:b/>
          <w:color w:val="3E382A"/>
        </w:rPr>
      </w:pPr>
      <w:r w:rsidRPr="00F44633">
        <w:rPr>
          <w:rFonts w:asciiTheme="minorHAnsi" w:hAnsiTheme="minorHAnsi" w:cstheme="minorHAnsi"/>
          <w:b/>
          <w:color w:val="3E382A"/>
        </w:rPr>
        <w:lastRenderedPageBreak/>
        <w:t>How will Federal funds will be matched?</w:t>
      </w:r>
    </w:p>
    <w:p w14:paraId="57B956D8" w14:textId="77777777" w:rsidR="006D03DE" w:rsidRPr="00F44633" w:rsidRDefault="006D03DE" w:rsidP="00E30E96">
      <w:pPr>
        <w:spacing w:line="276" w:lineRule="auto"/>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35837469" w:rsidR="003816D0" w:rsidRPr="00F44633" w:rsidRDefault="00A40EC4" w:rsidP="00E30E96">
      <w:pPr>
        <w:spacing w:line="276" w:lineRule="auto"/>
        <w:rPr>
          <w:rFonts w:asciiTheme="minorHAnsi" w:hAnsiTheme="minorHAnsi" w:cstheme="minorHAnsi"/>
          <w:bCs/>
          <w:color w:val="000000"/>
        </w:rPr>
      </w:pPr>
      <w:r>
        <w:rPr>
          <w:rFonts w:asciiTheme="minorHAnsi" w:hAnsiTheme="minorHAnsi" w:cstheme="minorHAnsi"/>
          <w:bCs/>
          <w:color w:val="000000"/>
        </w:rPr>
        <w:t>Local match would be cash fares</w:t>
      </w: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Default="003816D0" w:rsidP="00E30E96">
      <w:pPr>
        <w:spacing w:line="276" w:lineRule="auto"/>
        <w:rPr>
          <w:rFonts w:asciiTheme="minorHAnsi" w:hAnsiTheme="minorHAnsi" w:cstheme="minorHAnsi"/>
          <w:bCs/>
          <w:color w:val="000000"/>
        </w:rPr>
      </w:pPr>
    </w:p>
    <w:p w14:paraId="308050AA" w14:textId="1D7FCEA4" w:rsidR="00A40EC4" w:rsidRPr="00A40EC4" w:rsidRDefault="00A40EC4" w:rsidP="00E30E96">
      <w:pPr>
        <w:spacing w:line="276" w:lineRule="auto"/>
        <w:rPr>
          <w:rFonts w:asciiTheme="minorHAnsi" w:hAnsiTheme="minorHAnsi" w:cstheme="minorHAnsi"/>
          <w:bCs/>
          <w:color w:val="000000"/>
        </w:rPr>
      </w:pPr>
      <w:r w:rsidRPr="00A40EC4">
        <w:rPr>
          <w:rFonts w:asciiTheme="minorHAnsi" w:hAnsiTheme="minorHAnsi" w:cs="Arial"/>
          <w:bCs/>
          <w:color w:val="000000"/>
        </w:rPr>
        <w:t>Performance will be measured by the number of trips provided. Also data including trip purpose, municipality of origin, and municipality destination are tracked. The most important outcome would be the continuation of service. Riders would have access to medical appointments, work, groceries, and social outings</w:t>
      </w:r>
      <w:r>
        <w:rPr>
          <w:rFonts w:asciiTheme="minorHAnsi" w:hAnsiTheme="minorHAnsi" w:cs="Arial"/>
          <w:bCs/>
          <w:color w:val="000000"/>
        </w:rPr>
        <w:t>.</w:t>
      </w: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57B956E3" w14:textId="77777777"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621B0E5A" w:rsidR="00627245" w:rsidRPr="00F44633" w:rsidRDefault="00627245" w:rsidP="00627245">
                  <w:pPr>
                    <w:rPr>
                      <w:rFonts w:asciiTheme="minorHAnsi" w:hAnsiTheme="minorHAnsi" w:cstheme="minorHAnsi"/>
                    </w:rPr>
                  </w:pPr>
                  <w:r w:rsidRPr="00F44633">
                    <w:rPr>
                      <w:rFonts w:asciiTheme="minorHAnsi" w:hAnsiTheme="minorHAnsi" w:cstheme="minorHAnsi"/>
                    </w:rPr>
                    <w:t>Name:</w:t>
                  </w:r>
                  <w:r w:rsidR="00A40EC4">
                    <w:rPr>
                      <w:rFonts w:asciiTheme="minorHAnsi" w:hAnsiTheme="minorHAnsi" w:cstheme="minorHAnsi"/>
                    </w:rPr>
                    <w:t xml:space="preserve">  </w:t>
                  </w:r>
                  <w:r w:rsidR="00A40EC4" w:rsidRPr="00A40EC4">
                    <w:rPr>
                      <w:rFonts w:asciiTheme="minorHAnsi" w:hAnsiTheme="minorHAnsi" w:cstheme="minorHAnsi"/>
                    </w:rPr>
                    <w:t>Kristen Wells</w:t>
                  </w:r>
                </w:p>
                <w:p w14:paraId="57B956E8" w14:textId="72AF3C6F" w:rsidR="00627245" w:rsidRPr="00F44633" w:rsidRDefault="00627245" w:rsidP="00627245">
                  <w:pPr>
                    <w:rPr>
                      <w:rFonts w:asciiTheme="minorHAnsi" w:hAnsiTheme="minorHAnsi" w:cstheme="minorHAnsi"/>
                    </w:rPr>
                  </w:pPr>
                </w:p>
              </w:tc>
              <w:tc>
                <w:tcPr>
                  <w:tcW w:w="3744" w:type="dxa"/>
                </w:tcPr>
                <w:p w14:paraId="57B956E9" w14:textId="43028D5A" w:rsidR="00627245" w:rsidRPr="00F44633" w:rsidRDefault="00627245" w:rsidP="00627245">
                  <w:pPr>
                    <w:rPr>
                      <w:rFonts w:asciiTheme="minorHAnsi" w:hAnsiTheme="minorHAnsi" w:cstheme="minorHAnsi"/>
                    </w:rPr>
                  </w:pPr>
                  <w:r w:rsidRPr="00F44633">
                    <w:rPr>
                      <w:rFonts w:asciiTheme="minorHAnsi" w:hAnsiTheme="minorHAnsi" w:cstheme="minorHAnsi"/>
                    </w:rPr>
                    <w:t>Title:</w:t>
                  </w:r>
                  <w:r w:rsidR="00A40EC4">
                    <w:rPr>
                      <w:rFonts w:asciiTheme="minorHAnsi" w:hAnsiTheme="minorHAnsi" w:cstheme="minorHAnsi"/>
                    </w:rPr>
                    <w:t xml:space="preserve">  Executive Director</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53CA852A" w:rsidR="00627245" w:rsidRPr="00F44633" w:rsidRDefault="00A40EC4" w:rsidP="00627245">
                  <w:pPr>
                    <w:rPr>
                      <w:rFonts w:asciiTheme="minorHAnsi" w:hAnsiTheme="minorHAnsi" w:cstheme="minorHAnsi"/>
                    </w:rPr>
                  </w:pPr>
                  <w:r>
                    <w:rPr>
                      <w:rFonts w:asciiTheme="minorHAnsi" w:hAnsiTheme="minorHAnsi" w:cstheme="minorHAnsi"/>
                    </w:rPr>
                    <w:t>Kw1@tcatmail.com</w:t>
                  </w:r>
                </w:p>
              </w:tc>
              <w:tc>
                <w:tcPr>
                  <w:tcW w:w="3744" w:type="dxa"/>
                </w:tcPr>
                <w:p w14:paraId="57B956ED" w14:textId="1B6384DC" w:rsidR="00627245" w:rsidRPr="00F44633" w:rsidRDefault="00627245" w:rsidP="00627245">
                  <w:pPr>
                    <w:rPr>
                      <w:rFonts w:asciiTheme="minorHAnsi" w:hAnsiTheme="minorHAnsi" w:cstheme="minorHAnsi"/>
                    </w:rPr>
                  </w:pPr>
                  <w:r w:rsidRPr="00F44633">
                    <w:rPr>
                      <w:rFonts w:asciiTheme="minorHAnsi" w:hAnsiTheme="minorHAnsi" w:cstheme="minorHAnsi"/>
                    </w:rPr>
                    <w:t>Date:</w:t>
                  </w:r>
                  <w:r w:rsidR="00A40EC4">
                    <w:rPr>
                      <w:rFonts w:asciiTheme="minorHAnsi" w:hAnsiTheme="minorHAnsi" w:cstheme="minorHAnsi"/>
                    </w:rPr>
                    <w:t xml:space="preserve"> 10/25/2017</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7F0D6E0F"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1"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A210A7">
        <w:rPr>
          <w:rFonts w:asciiTheme="minorHAnsi" w:hAnsiTheme="minorHAnsi" w:cstheme="minorHAnsi"/>
          <w:b/>
        </w:rPr>
        <w:t>Nov</w:t>
      </w:r>
      <w:r w:rsidR="009E0D66" w:rsidRPr="00F44633">
        <w:rPr>
          <w:rFonts w:asciiTheme="minorHAnsi" w:hAnsiTheme="minorHAnsi" w:cstheme="minorHAnsi"/>
          <w:b/>
        </w:rPr>
        <w:t xml:space="preserve"> </w:t>
      </w:r>
      <w:r w:rsidR="00C83473" w:rsidRPr="00F44633">
        <w:rPr>
          <w:rFonts w:asciiTheme="minorHAnsi" w:hAnsiTheme="minorHAnsi" w:cstheme="minorHAnsi"/>
          <w:b/>
        </w:rPr>
        <w:t>3</w:t>
      </w:r>
      <w:r w:rsidR="009E0D66" w:rsidRPr="00F44633">
        <w:rPr>
          <w:rFonts w:asciiTheme="minorHAnsi" w:hAnsiTheme="minorHAnsi" w:cstheme="minorHAnsi"/>
          <w:b/>
        </w:rPr>
        <w:t>, 201</w:t>
      </w:r>
      <w:r w:rsidR="00A210A7">
        <w:rPr>
          <w:rFonts w:asciiTheme="minorHAnsi" w:hAnsiTheme="minorHAnsi" w:cstheme="minorHAnsi"/>
          <w:b/>
        </w:rPr>
        <w:t>7</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7917CF4F"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2"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A210A7">
        <w:rPr>
          <w:rFonts w:asciiTheme="minorHAnsi" w:hAnsiTheme="minorHAnsi" w:cstheme="minorHAnsi"/>
          <w:b/>
        </w:rPr>
        <w:t>20</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5BD14169" w14:textId="77777777" w:rsidR="00B64270" w:rsidRDefault="00B64270" w:rsidP="00920A6D">
      <w:pPr>
        <w:spacing w:line="276" w:lineRule="auto"/>
        <w:rPr>
          <w:rFonts w:asciiTheme="minorHAnsi" w:hAnsiTheme="minorHAnsi" w:cstheme="minorHAnsi"/>
          <w:b/>
        </w:rPr>
      </w:pPr>
    </w:p>
    <w:p w14:paraId="05C72FD7" w14:textId="77777777" w:rsidR="00B64270" w:rsidRDefault="00B64270" w:rsidP="00920A6D">
      <w:pPr>
        <w:spacing w:line="276" w:lineRule="auto"/>
        <w:rPr>
          <w:rFonts w:asciiTheme="minorHAnsi" w:hAnsiTheme="minorHAnsi" w:cstheme="minorHAnsi"/>
          <w:b/>
        </w:rPr>
      </w:pPr>
    </w:p>
    <w:p w14:paraId="458304A6" w14:textId="77777777" w:rsidR="00B64270" w:rsidRDefault="00B64270" w:rsidP="00920A6D">
      <w:pPr>
        <w:spacing w:line="276" w:lineRule="auto"/>
        <w:rPr>
          <w:rFonts w:asciiTheme="minorHAnsi" w:hAnsiTheme="minorHAnsi" w:cstheme="minorHAnsi"/>
          <w:b/>
        </w:rPr>
      </w:pPr>
    </w:p>
    <w:p w14:paraId="4E564153" w14:textId="77777777" w:rsidR="00B64270" w:rsidRDefault="00B64270" w:rsidP="00920A6D">
      <w:pPr>
        <w:spacing w:line="276" w:lineRule="auto"/>
        <w:rPr>
          <w:rFonts w:asciiTheme="minorHAnsi" w:hAnsiTheme="minorHAnsi" w:cstheme="minorHAnsi"/>
          <w:b/>
        </w:rPr>
      </w:pPr>
    </w:p>
    <w:p w14:paraId="5E14F201" w14:textId="77777777" w:rsidR="00B64270" w:rsidRDefault="00B64270" w:rsidP="00920A6D">
      <w:pPr>
        <w:spacing w:line="276" w:lineRule="auto"/>
        <w:rPr>
          <w:rFonts w:asciiTheme="minorHAnsi" w:hAnsiTheme="minorHAnsi" w:cstheme="minorHAnsi"/>
          <w:b/>
        </w:rPr>
      </w:pPr>
    </w:p>
    <w:p w14:paraId="6494FCEF" w14:textId="77777777" w:rsidR="00B64270" w:rsidRDefault="00B64270"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lastRenderedPageBreak/>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57B95710" w14:textId="77777777" w:rsidR="003464F0" w:rsidRDefault="003464F0" w:rsidP="00E30E96">
      <w:pPr>
        <w:spacing w:line="276" w:lineRule="auto"/>
        <w:rPr>
          <w:rFonts w:asciiTheme="minorHAnsi" w:hAnsiTheme="minorHAnsi" w:cstheme="minorHAnsi"/>
          <w:sz w:val="22"/>
          <w:szCs w:val="22"/>
        </w:rPr>
      </w:pPr>
    </w:p>
    <w:p w14:paraId="57B95711" w14:textId="77777777" w:rsidR="00622165" w:rsidRPr="00622165" w:rsidRDefault="003464F0" w:rsidP="00E30E96">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3</w:t>
      </w:r>
      <w:r w:rsidR="00622165">
        <w:rPr>
          <w:rFonts w:asciiTheme="minorHAnsi" w:hAnsiTheme="minorHAnsi" w:cstheme="minorHAnsi"/>
          <w:sz w:val="22"/>
          <w:szCs w:val="22"/>
        </w:rPr>
        <w:t xml:space="preserve">. </w:t>
      </w:r>
      <w:r w:rsidR="00D8730C">
        <w:rPr>
          <w:rFonts w:asciiTheme="minorHAnsi" w:hAnsiTheme="minorHAnsi" w:cstheme="minorHAnsi"/>
          <w:sz w:val="22"/>
          <w:szCs w:val="22"/>
        </w:rPr>
        <w:t>C</w:t>
      </w:r>
      <w:r w:rsidR="00622165">
        <w:rPr>
          <w:rFonts w:asciiTheme="minorHAnsi" w:hAnsiTheme="minorHAnsi" w:cstheme="minorHAnsi"/>
          <w:sz w:val="22"/>
          <w:szCs w:val="22"/>
        </w:rPr>
        <w:t>apital</w:t>
      </w:r>
      <w:r w:rsidR="0062379E">
        <w:rPr>
          <w:rFonts w:asciiTheme="minorHAnsi" w:hAnsiTheme="minorHAnsi" w:cstheme="minorHAnsi"/>
          <w:sz w:val="22"/>
          <w:szCs w:val="22"/>
        </w:rPr>
        <w:t>:</w:t>
      </w:r>
      <w:r>
        <w:rPr>
          <w:rFonts w:asciiTheme="minorHAnsi" w:hAnsiTheme="minorHAnsi" w:cstheme="minorHAnsi"/>
          <w:sz w:val="22"/>
          <w:szCs w:val="22"/>
        </w:rPr>
        <w:t xml:space="preserve"> public transit related pedestrian, bicycle, accessible bus stops, signs, and other eligible projects.</w:t>
      </w:r>
      <w:r w:rsidR="0062379E">
        <w:rPr>
          <w:rFonts w:asciiTheme="minorHAnsi" w:hAnsiTheme="minorHAnsi" w:cstheme="minorHAnsi"/>
          <w:sz w:val="22"/>
          <w:szCs w:val="22"/>
        </w:rPr>
        <w:t xml:space="preserve"> </w:t>
      </w:r>
      <w:r w:rsidR="00622165">
        <w:rPr>
          <w:rFonts w:asciiTheme="minorHAnsi" w:hAnsiTheme="minorHAnsi" w:cstheme="minorHAnsi"/>
          <w:sz w:val="22"/>
          <w:szCs w:val="22"/>
        </w:rPr>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What is the total funding available for Special Community Mobility Projects.</w:t>
      </w:r>
    </w:p>
    <w:p w14:paraId="57B95714" w14:textId="7DD9214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334187">
        <w:rPr>
          <w:rFonts w:asciiTheme="minorHAnsi" w:hAnsiTheme="minorHAnsi" w:cstheme="minorHAnsi"/>
          <w:sz w:val="22"/>
          <w:szCs w:val="22"/>
        </w:rPr>
        <w:t xml:space="preserve">this includes $90,000 for 2018 and </w:t>
      </w:r>
      <w:r w:rsidR="009E0D66">
        <w:rPr>
          <w:rFonts w:asciiTheme="minorHAnsi" w:hAnsiTheme="minorHAnsi" w:cstheme="minorHAnsi"/>
          <w:sz w:val="22"/>
          <w:szCs w:val="22"/>
        </w:rPr>
        <w:t xml:space="preserve">unused funds from past grants that may </w:t>
      </w:r>
      <w:proofErr w:type="gramStart"/>
      <w:r w:rsidR="009E0D66">
        <w:rPr>
          <w:rFonts w:asciiTheme="minorHAnsi" w:hAnsiTheme="minorHAnsi" w:cstheme="minorHAnsi"/>
          <w:sz w:val="22"/>
          <w:szCs w:val="22"/>
        </w:rPr>
        <w:t>be  added</w:t>
      </w:r>
      <w:proofErr w:type="gramEnd"/>
      <w:r w:rsidR="009E0D66">
        <w:rPr>
          <w:rFonts w:asciiTheme="minorHAnsi" w:hAnsiTheme="minorHAnsi" w:cstheme="minorHAnsi"/>
          <w:sz w:val="22"/>
          <w:szCs w:val="22"/>
        </w:rPr>
        <w:t xml:space="preserve">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6"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14:paraId="57B95717" w14:textId="77777777" w:rsidR="00AC7E28" w:rsidRDefault="00AC7E28" w:rsidP="00E30E96">
      <w:pPr>
        <w:spacing w:line="276" w:lineRule="auto"/>
        <w:rPr>
          <w:rFonts w:asciiTheme="minorHAnsi" w:hAnsiTheme="minorHAnsi" w:cstheme="minorHAnsi"/>
          <w:sz w:val="22"/>
          <w:szCs w:val="22"/>
        </w:rPr>
      </w:pPr>
    </w:p>
    <w:p w14:paraId="57B95718"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Mobility Management and other capital projects are eligible to receive 80% Federal funding. New York State will provide 10% and the local match is 10%.</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1F" w14:textId="77777777" w:rsidR="004C48B6" w:rsidRDefault="004C48B6" w:rsidP="000B411B">
      <w:pPr>
        <w:shd w:val="clear" w:color="auto" w:fill="FFFFFF"/>
        <w:spacing w:after="240"/>
        <w:rPr>
          <w:rFonts w:asciiTheme="minorHAnsi" w:hAnsiTheme="minorHAnsi" w:cstheme="minorHAnsi"/>
          <w:i/>
          <w:sz w:val="22"/>
          <w:szCs w:val="22"/>
        </w:rPr>
      </w:pPr>
    </w:p>
    <w:p w14:paraId="57B95720" w14:textId="77777777" w:rsidR="004C48B6" w:rsidRDefault="004C48B6" w:rsidP="000B411B">
      <w:pPr>
        <w:shd w:val="clear" w:color="auto" w:fill="FFFFFF"/>
        <w:spacing w:after="240"/>
        <w:rPr>
          <w:rFonts w:asciiTheme="minorHAnsi" w:hAnsiTheme="minorHAnsi" w:cstheme="minorHAnsi"/>
          <w:i/>
          <w:sz w:val="22"/>
          <w:szCs w:val="22"/>
        </w:rPr>
      </w:pPr>
    </w:p>
    <w:p w14:paraId="57B95721" w14:textId="77777777" w:rsidR="004C48B6" w:rsidRDefault="004C48B6" w:rsidP="000B411B">
      <w:pPr>
        <w:shd w:val="clear" w:color="auto" w:fill="FFFFFF"/>
        <w:spacing w:after="240"/>
        <w:rPr>
          <w:rFonts w:asciiTheme="minorHAnsi" w:hAnsiTheme="minorHAnsi" w:cstheme="minorHAnsi"/>
          <w:i/>
          <w:sz w:val="22"/>
          <w:szCs w:val="22"/>
        </w:rPr>
      </w:pPr>
    </w:p>
    <w:p w14:paraId="57B95722" w14:textId="77777777" w:rsidR="004C48B6" w:rsidRDefault="004C48B6" w:rsidP="000B411B">
      <w:pPr>
        <w:shd w:val="clear" w:color="auto" w:fill="FFFFFF"/>
        <w:spacing w:after="240"/>
        <w:rPr>
          <w:rFonts w:asciiTheme="minorHAnsi" w:hAnsiTheme="minorHAnsi" w:cstheme="minorHAnsi"/>
          <w:i/>
          <w:sz w:val="22"/>
          <w:szCs w:val="22"/>
        </w:rPr>
      </w:pPr>
    </w:p>
    <w:p w14:paraId="57B95723" w14:textId="77777777" w:rsidR="004C48B6" w:rsidRDefault="004C48B6" w:rsidP="000B411B">
      <w:pPr>
        <w:shd w:val="clear" w:color="auto" w:fill="FFFFFF"/>
        <w:spacing w:after="240"/>
        <w:rPr>
          <w:rFonts w:asciiTheme="minorHAnsi" w:hAnsiTheme="minorHAnsi" w:cstheme="minorHAnsi"/>
          <w:i/>
          <w:sz w:val="22"/>
          <w:szCs w:val="22"/>
        </w:rPr>
      </w:pPr>
    </w:p>
    <w:p w14:paraId="57B95724" w14:textId="77777777" w:rsidR="004C48B6" w:rsidRDefault="004C48B6" w:rsidP="000B411B">
      <w:pPr>
        <w:shd w:val="clear" w:color="auto" w:fill="FFFFFF"/>
        <w:spacing w:after="240"/>
        <w:rPr>
          <w:rFonts w:asciiTheme="minorHAnsi" w:hAnsiTheme="minorHAnsi" w:cstheme="minorHAnsi"/>
          <w:i/>
          <w:sz w:val="22"/>
          <w:szCs w:val="22"/>
        </w:rPr>
      </w:pP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proofErr w:type="gramStart"/>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roofErr w:type="gramEnd"/>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656FFAB4"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334187">
              <w:rPr>
                <w:rFonts w:asciiTheme="minorHAnsi" w:hAnsiTheme="minorHAnsi" w:cstheme="minorHAnsi"/>
                <w:sz w:val="22"/>
                <w:szCs w:val="22"/>
              </w:rPr>
              <w:t>1</w:t>
            </w:r>
            <w:r w:rsidR="00221DA1">
              <w:rPr>
                <w:rFonts w:asciiTheme="minorHAnsi" w:hAnsiTheme="minorHAnsi" w:cstheme="minorHAnsi"/>
                <w:sz w:val="22"/>
                <w:szCs w:val="22"/>
              </w:rPr>
              <w:t>/</w:t>
            </w:r>
            <w:r>
              <w:rPr>
                <w:rFonts w:asciiTheme="minorHAnsi" w:hAnsiTheme="minorHAnsi" w:cstheme="minorHAnsi"/>
                <w:sz w:val="22"/>
                <w:szCs w:val="22"/>
              </w:rPr>
              <w:t>3</w:t>
            </w:r>
            <w:r w:rsidR="00221DA1">
              <w:rPr>
                <w:rFonts w:asciiTheme="minorHAnsi" w:hAnsiTheme="minorHAnsi" w:cstheme="minorHAnsi"/>
                <w:sz w:val="22"/>
                <w:szCs w:val="22"/>
              </w:rPr>
              <w:t>/201</w:t>
            </w:r>
            <w:r w:rsidR="00334187">
              <w:rPr>
                <w:rFonts w:asciiTheme="minorHAnsi" w:hAnsiTheme="minorHAnsi" w:cstheme="minorHAnsi"/>
                <w:sz w:val="22"/>
                <w:szCs w:val="22"/>
              </w:rPr>
              <w:t>7</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3"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74695B0C"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334187">
              <w:rPr>
                <w:rFonts w:asciiTheme="minorHAnsi" w:hAnsiTheme="minorHAnsi" w:cstheme="minorHAnsi"/>
                <w:sz w:val="22"/>
                <w:szCs w:val="22"/>
              </w:rPr>
              <w:t>10</w:t>
            </w:r>
            <w:r>
              <w:rPr>
                <w:rFonts w:asciiTheme="minorHAnsi" w:hAnsiTheme="minorHAnsi" w:cstheme="minorHAnsi"/>
                <w:sz w:val="22"/>
                <w:szCs w:val="22"/>
              </w:rPr>
              <w:t>/1</w:t>
            </w:r>
            <w:r w:rsidR="00334187">
              <w:rPr>
                <w:rFonts w:asciiTheme="minorHAnsi" w:hAnsiTheme="minorHAnsi" w:cstheme="minorHAnsi"/>
                <w:sz w:val="22"/>
                <w:szCs w:val="22"/>
              </w:rPr>
              <w:t>7</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77777777"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1</w:t>
            </w:r>
            <w:r w:rsidR="00334187">
              <w:rPr>
                <w:rFonts w:asciiTheme="minorHAnsi" w:hAnsiTheme="minorHAnsi" w:cstheme="minorHAnsi"/>
                <w:sz w:val="22"/>
                <w:szCs w:val="22"/>
              </w:rPr>
              <w:t>5</w:t>
            </w:r>
            <w:r w:rsidR="00221DA1">
              <w:rPr>
                <w:rFonts w:asciiTheme="minorHAnsi" w:hAnsiTheme="minorHAnsi" w:cstheme="minorHAnsi"/>
                <w:sz w:val="22"/>
                <w:szCs w:val="22"/>
              </w:rPr>
              <w:t>/1</w:t>
            </w:r>
            <w:r w:rsidR="00334187">
              <w:rPr>
                <w:rFonts w:asciiTheme="minorHAnsi" w:hAnsiTheme="minorHAnsi" w:cstheme="minorHAnsi"/>
                <w:sz w:val="22"/>
                <w:szCs w:val="22"/>
              </w:rPr>
              <w:t>7</w:t>
            </w:r>
            <w:r w:rsidR="00221DA1">
              <w:rPr>
                <w:rFonts w:asciiTheme="minorHAnsi" w:hAnsiTheme="minorHAnsi" w:cstheme="minorHAnsi"/>
                <w:sz w:val="22"/>
                <w:szCs w:val="22"/>
              </w:rPr>
              <w:t>,</w:t>
            </w:r>
          </w:p>
          <w:p w14:paraId="430851CF"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10:10-11:30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D86145E"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County Office for Aging</w:t>
            </w: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7C8DDD58"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11/16 to 11/27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recommends a draft program of projects.</w:t>
            </w:r>
          </w:p>
        </w:tc>
      </w:tr>
      <w:tr w:rsidR="00F34D4C" w14:paraId="26CFC57B" w14:textId="77777777" w:rsidTr="00F34D4C">
        <w:tc>
          <w:tcPr>
            <w:tcW w:w="2317" w:type="dxa"/>
          </w:tcPr>
          <w:p w14:paraId="228DE773" w14:textId="710FB047"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11/28/17, 10 am</w:t>
            </w:r>
          </w:p>
        </w:tc>
        <w:tc>
          <w:tcPr>
            <w:tcW w:w="7398" w:type="dxa"/>
          </w:tcPr>
          <w:p w14:paraId="38F4EA5D" w14:textId="65F4E15C" w:rsidR="00F34D4C" w:rsidRPr="00221DA1"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Planning Committee is briefed and recommends a proposed program </w:t>
            </w:r>
            <w:proofErr w:type="gramStart"/>
            <w:r>
              <w:rPr>
                <w:rFonts w:asciiTheme="minorHAnsi" w:hAnsiTheme="minorHAnsi" w:cstheme="minorHAnsi"/>
                <w:sz w:val="22"/>
                <w:szCs w:val="22"/>
              </w:rPr>
              <w:t>of  projects</w:t>
            </w:r>
            <w:proofErr w:type="gramEnd"/>
            <w:r>
              <w:rPr>
                <w:rFonts w:asciiTheme="minorHAnsi" w:hAnsiTheme="minorHAnsi" w:cstheme="minorHAnsi"/>
                <w:sz w:val="22"/>
                <w:szCs w:val="22"/>
              </w:rPr>
              <w:t xml:space="preserve">. </w:t>
            </w:r>
          </w:p>
        </w:tc>
      </w:tr>
      <w:tr w:rsidR="00221DA1" w14:paraId="57B95738" w14:textId="77777777" w:rsidTr="00F34D4C">
        <w:tc>
          <w:tcPr>
            <w:tcW w:w="2317" w:type="dxa"/>
          </w:tcPr>
          <w:p w14:paraId="0C1C3BA0"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F34D4C">
              <w:rPr>
                <w:rFonts w:asciiTheme="minorHAnsi" w:hAnsiTheme="minorHAnsi" w:cstheme="minorHAnsi"/>
                <w:sz w:val="22"/>
                <w:szCs w:val="22"/>
              </w:rPr>
              <w:t>19</w:t>
            </w:r>
            <w:r>
              <w:rPr>
                <w:rFonts w:asciiTheme="minorHAnsi" w:hAnsiTheme="minorHAnsi" w:cstheme="minorHAnsi"/>
                <w:sz w:val="22"/>
                <w:szCs w:val="22"/>
              </w:rPr>
              <w:t>/1</w:t>
            </w:r>
            <w:r w:rsidR="00334187">
              <w:rPr>
                <w:rFonts w:asciiTheme="minorHAnsi" w:hAnsiTheme="minorHAnsi" w:cstheme="minorHAnsi"/>
                <w:sz w:val="22"/>
                <w:szCs w:val="22"/>
              </w:rPr>
              <w:t>7</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A03A701"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TCAT Facility</w:t>
            </w: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77777777"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4"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p>
    <w:p w14:paraId="57B95742" w14:textId="77777777" w:rsidR="00E4405F" w:rsidRDefault="00E4405F" w:rsidP="00221DA1">
      <w:pPr>
        <w:spacing w:line="276" w:lineRule="auto"/>
        <w:rPr>
          <w:rFonts w:asciiTheme="minorHAnsi" w:hAnsiTheme="minorHAnsi" w:cstheme="minorHAnsi"/>
          <w:sz w:val="22"/>
          <w:szCs w:val="22"/>
        </w:rPr>
      </w:pPr>
    </w:p>
    <w:p w14:paraId="031F5138" w14:textId="77777777"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150% of the </w:t>
      </w:r>
      <w:r w:rsidR="00740369">
        <w:rPr>
          <w:rFonts w:asciiTheme="minorHAnsi" w:hAnsiTheme="minorHAnsi" w:cstheme="minorHAnsi"/>
          <w:sz w:val="22"/>
          <w:szCs w:val="22"/>
        </w:rPr>
        <w:t xml:space="preserve">current Federal Poverty Level shown in the tables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637B85B7"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For example, when marketing a ridesharing 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w:t>
      </w:r>
      <w:proofErr w:type="gramStart"/>
      <w:r>
        <w:rPr>
          <w:rFonts w:asciiTheme="minorHAnsi" w:hAnsiTheme="minorHAnsi" w:cstheme="minorHAnsi"/>
          <w:sz w:val="22"/>
          <w:szCs w:val="22"/>
        </w:rPr>
        <w:t>of  market</w:t>
      </w:r>
      <w:proofErr w:type="gramEnd"/>
      <w:r>
        <w:rPr>
          <w:rFonts w:asciiTheme="minorHAnsi" w:hAnsiTheme="minorHAnsi" w:cstheme="minorHAnsi"/>
          <w:sz w:val="22"/>
          <w:szCs w:val="22"/>
        </w:rPr>
        <w:t xml:space="preserve">-priced mobility services appealing to the general public, we are able to target limited public monies to subsidize access by people with low income, seniors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7B95744" w14:textId="226FB92A" w:rsidR="00FE1D8A" w:rsidRDefault="00740369" w:rsidP="00221DA1">
      <w:pPr>
        <w:spacing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31F42DF" wp14:editId="1C667F45">
            <wp:extent cx="4914900" cy="28367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Poverty Level 2017.png"/>
                    <pic:cNvPicPr/>
                  </pic:nvPicPr>
                  <pic:blipFill>
                    <a:blip r:embed="rId15">
                      <a:extLst>
                        <a:ext uri="{28A0092B-C50C-407E-A947-70E740481C1C}">
                          <a14:useLocalDpi xmlns:a14="http://schemas.microsoft.com/office/drawing/2010/main" val="0"/>
                        </a:ext>
                      </a:extLst>
                    </a:blip>
                    <a:stretch>
                      <a:fillRect/>
                    </a:stretch>
                  </pic:blipFill>
                  <pic:spPr>
                    <a:xfrm>
                      <a:off x="0" y="0"/>
                      <a:ext cx="4926450" cy="2843455"/>
                    </a:xfrm>
                    <a:prstGeom prst="rect">
                      <a:avLst/>
                    </a:prstGeom>
                  </pic:spPr>
                </pic:pic>
              </a:graphicData>
            </a:graphic>
          </wp:inline>
        </w:drawing>
      </w:r>
    </w:p>
    <w:p w14:paraId="57B95747" w14:textId="77777777" w:rsidR="009E42CB" w:rsidRDefault="009E42CB" w:rsidP="00221DA1">
      <w:pPr>
        <w:spacing w:line="276" w:lineRule="auto"/>
        <w:rPr>
          <w:rFonts w:asciiTheme="minorHAnsi" w:hAnsiTheme="minorHAnsi" w:cstheme="minorHAnsi"/>
          <w:sz w:val="22"/>
          <w:szCs w:val="22"/>
        </w:rPr>
      </w:pPr>
    </w:p>
    <w:p w14:paraId="57B9574D" w14:textId="77777777" w:rsidR="009E42CB"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6"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by phone (607) 274-5605 or by comment card below. </w:t>
      </w:r>
    </w:p>
    <w:sectPr w:rsidR="009E42CB"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95752" w14:textId="77777777" w:rsidR="008E0404" w:rsidRDefault="008E0404" w:rsidP="0062379E">
      <w:r>
        <w:separator/>
      </w:r>
    </w:p>
  </w:endnote>
  <w:endnote w:type="continuationSeparator" w:id="0">
    <w:p w14:paraId="57B95753" w14:textId="77777777" w:rsidR="008E0404" w:rsidRDefault="008E0404" w:rsidP="0062379E">
      <w:r>
        <w:continuationSeparator/>
      </w:r>
    </w:p>
  </w:endnote>
  <w:endnote w:id="1">
    <w:p w14:paraId="57B95754" w14:textId="77777777" w:rsidR="008E0404" w:rsidRPr="004C48B6" w:rsidRDefault="008E0404">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9030.1D, Page III-8.</w:t>
      </w:r>
    </w:p>
    <w:p w14:paraId="57B95755" w14:textId="77777777" w:rsidR="008E0404" w:rsidRDefault="008E0404">
      <w:pPr>
        <w:pStyle w:val="EndnoteText"/>
      </w:pPr>
    </w:p>
  </w:endnote>
  <w:endnote w:id="2">
    <w:p w14:paraId="57B95756" w14:textId="77777777" w:rsidR="008E0404" w:rsidRDefault="008E0404" w:rsidP="003464F0">
      <w:pPr>
        <w:spacing w:line="276" w:lineRule="auto"/>
        <w:rPr>
          <w:sz w:val="23"/>
          <w:szCs w:val="23"/>
        </w:rPr>
      </w:pPr>
      <w:r>
        <w:rPr>
          <w:rStyle w:val="EndnoteReference"/>
        </w:rPr>
        <w:endnoteRef/>
      </w:r>
      <w:r>
        <w:t xml:space="preserve"> </w:t>
      </w:r>
      <w:hyperlink r:id="rId1" w:history="1">
        <w:r w:rsidRPr="0062379E">
          <w:rPr>
            <w:rStyle w:val="Hyperlink"/>
            <w:rFonts w:asciiTheme="minorHAnsi" w:hAnsiTheme="minorHAnsi" w:cstheme="minorHAnsi"/>
            <w:sz w:val="22"/>
            <w:szCs w:val="22"/>
          </w:rPr>
          <w:t>http://www.fta.dot.gov/documents/2012-10-10_MAP-21_FINAL.pdf</w:t>
        </w:r>
      </w:hyperlink>
      <w:r w:rsidRPr="0062379E">
        <w:rPr>
          <w:rFonts w:asciiTheme="minorHAnsi" w:hAnsiTheme="minorHAnsi" w:cstheme="minorHAnsi"/>
          <w:sz w:val="22"/>
          <w:szCs w:val="22"/>
        </w:rPr>
        <w:t xml:space="preserve">  page 36.</w:t>
      </w:r>
    </w:p>
    <w:p w14:paraId="57B95757" w14:textId="77777777" w:rsidR="008E0404" w:rsidRDefault="008E0404">
      <w:pPr>
        <w:pStyle w:val="EndnoteText"/>
      </w:pPr>
    </w:p>
    <w:p w14:paraId="57B95758" w14:textId="77777777" w:rsidR="008E0404" w:rsidRPr="00310BF7" w:rsidRDefault="008E0404">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5750" w14:textId="77777777" w:rsidR="008E0404" w:rsidRDefault="008E0404" w:rsidP="0062379E">
      <w:r>
        <w:separator/>
      </w:r>
    </w:p>
  </w:footnote>
  <w:footnote w:type="continuationSeparator" w:id="0">
    <w:p w14:paraId="57B95751" w14:textId="77777777" w:rsidR="008E0404" w:rsidRDefault="008E0404" w:rsidP="0062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2NzC0NDKwNLYwNjVT0lEKTi0uzszPAykwrAUAdIxwMiwAAAA="/>
  </w:docVars>
  <w:rsids>
    <w:rsidRoot w:val="00D92BDF"/>
    <w:rsid w:val="000152E5"/>
    <w:rsid w:val="000B411B"/>
    <w:rsid w:val="000C0F57"/>
    <w:rsid w:val="000C4A1B"/>
    <w:rsid w:val="000D5D02"/>
    <w:rsid w:val="001530C1"/>
    <w:rsid w:val="001B4932"/>
    <w:rsid w:val="001C6777"/>
    <w:rsid w:val="001F45FA"/>
    <w:rsid w:val="00212116"/>
    <w:rsid w:val="00221DA1"/>
    <w:rsid w:val="002237E4"/>
    <w:rsid w:val="00237497"/>
    <w:rsid w:val="0028219F"/>
    <w:rsid w:val="00294E2D"/>
    <w:rsid w:val="002C1C6A"/>
    <w:rsid w:val="002D0698"/>
    <w:rsid w:val="00300F9D"/>
    <w:rsid w:val="00310BF7"/>
    <w:rsid w:val="00334187"/>
    <w:rsid w:val="003464F0"/>
    <w:rsid w:val="00347625"/>
    <w:rsid w:val="0036420C"/>
    <w:rsid w:val="003775D8"/>
    <w:rsid w:val="003816D0"/>
    <w:rsid w:val="003A6B71"/>
    <w:rsid w:val="003C351F"/>
    <w:rsid w:val="00405B45"/>
    <w:rsid w:val="00414136"/>
    <w:rsid w:val="00416816"/>
    <w:rsid w:val="00443838"/>
    <w:rsid w:val="004A6B78"/>
    <w:rsid w:val="004C398B"/>
    <w:rsid w:val="004C48B6"/>
    <w:rsid w:val="004C5741"/>
    <w:rsid w:val="00567ACF"/>
    <w:rsid w:val="005850FD"/>
    <w:rsid w:val="005A5C56"/>
    <w:rsid w:val="005D4787"/>
    <w:rsid w:val="00622165"/>
    <w:rsid w:val="0062379E"/>
    <w:rsid w:val="00627245"/>
    <w:rsid w:val="006B5A47"/>
    <w:rsid w:val="006C33C1"/>
    <w:rsid w:val="006D03DE"/>
    <w:rsid w:val="006F1812"/>
    <w:rsid w:val="0072139C"/>
    <w:rsid w:val="00740369"/>
    <w:rsid w:val="007B5B26"/>
    <w:rsid w:val="007E43C9"/>
    <w:rsid w:val="00810AA1"/>
    <w:rsid w:val="00840D73"/>
    <w:rsid w:val="00875B51"/>
    <w:rsid w:val="00895FB1"/>
    <w:rsid w:val="008A696E"/>
    <w:rsid w:val="008E0404"/>
    <w:rsid w:val="008E3F4D"/>
    <w:rsid w:val="00920A6D"/>
    <w:rsid w:val="009568D0"/>
    <w:rsid w:val="009A7CD4"/>
    <w:rsid w:val="009E0D66"/>
    <w:rsid w:val="009E42CB"/>
    <w:rsid w:val="009F1B92"/>
    <w:rsid w:val="00A210A7"/>
    <w:rsid w:val="00A40EC4"/>
    <w:rsid w:val="00A60E1C"/>
    <w:rsid w:val="00AC7E28"/>
    <w:rsid w:val="00AD177D"/>
    <w:rsid w:val="00AE4D23"/>
    <w:rsid w:val="00B03043"/>
    <w:rsid w:val="00B07DA0"/>
    <w:rsid w:val="00B64270"/>
    <w:rsid w:val="00B717FF"/>
    <w:rsid w:val="00BC0660"/>
    <w:rsid w:val="00BC08AB"/>
    <w:rsid w:val="00BC5B41"/>
    <w:rsid w:val="00C20BB5"/>
    <w:rsid w:val="00C441AD"/>
    <w:rsid w:val="00C51B96"/>
    <w:rsid w:val="00C649B4"/>
    <w:rsid w:val="00C83473"/>
    <w:rsid w:val="00CA1D00"/>
    <w:rsid w:val="00CA6E94"/>
    <w:rsid w:val="00CE4FBF"/>
    <w:rsid w:val="00D8730C"/>
    <w:rsid w:val="00D92BDF"/>
    <w:rsid w:val="00DD5E68"/>
    <w:rsid w:val="00E231E9"/>
    <w:rsid w:val="00E30E96"/>
    <w:rsid w:val="00E4405F"/>
    <w:rsid w:val="00E74845"/>
    <w:rsid w:val="00E80244"/>
    <w:rsid w:val="00E95BAB"/>
    <w:rsid w:val="00EB279E"/>
    <w:rsid w:val="00ED7234"/>
    <w:rsid w:val="00EE1536"/>
    <w:rsid w:val="00F2500F"/>
    <w:rsid w:val="00F34D4C"/>
    <w:rsid w:val="00F44633"/>
    <w:rsid w:val="00F705B2"/>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dearagon@tompkins-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wight.mengel@dfa.state.ny.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wight.mengel@dfa.state.ny.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earagon@tompkins-co.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ta.dot.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2012-10-10_MAP-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857A-B954-4838-BA25-45EE153E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E8112D56</Template>
  <TotalTime>88</TotalTime>
  <Pages>7</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14808</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Kristen Wells</cp:lastModifiedBy>
  <cp:revision>6</cp:revision>
  <cp:lastPrinted>2017-10-25T15:19:00Z</cp:lastPrinted>
  <dcterms:created xsi:type="dcterms:W3CDTF">2017-10-25T15:31:00Z</dcterms:created>
  <dcterms:modified xsi:type="dcterms:W3CDTF">2017-10-25T17:17:00Z</dcterms:modified>
</cp:coreProperties>
</file>