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1C" w:rsidRDefault="009F3D1C" w:rsidP="009F3D1C">
      <w:pPr>
        <w:keepNext/>
        <w:widowControl w:val="0"/>
        <w:tabs>
          <w:tab w:val="center" w:pos="5400"/>
        </w:tabs>
        <w:suppressAutoHyphens/>
        <w:jc w:val="center"/>
        <w:outlineLvl w:val="1"/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</w:rPr>
      </w:pPr>
      <w:r w:rsidRPr="009F3D1C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</w:rPr>
        <w:t>201</w:t>
      </w:r>
      <w:r w:rsidR="005C418D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</w:rPr>
        <w:t>6</w:t>
      </w:r>
      <w:r w:rsidRPr="009F3D1C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</w:rPr>
        <w:t xml:space="preserve"> Amendment to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</w:rPr>
        <w:t xml:space="preserve">the </w:t>
      </w:r>
      <w:r w:rsidRPr="009F3D1C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</w:rPr>
        <w:t xml:space="preserve">Tompkins County </w:t>
      </w:r>
    </w:p>
    <w:p w:rsidR="009F3D1C" w:rsidRPr="009F3D1C" w:rsidRDefault="009F3D1C" w:rsidP="009F3D1C">
      <w:pPr>
        <w:keepNext/>
        <w:widowControl w:val="0"/>
        <w:tabs>
          <w:tab w:val="center" w:pos="5400"/>
        </w:tabs>
        <w:suppressAutoHyphens/>
        <w:jc w:val="center"/>
        <w:outlineLvl w:val="1"/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</w:rPr>
      </w:pPr>
      <w:r w:rsidRPr="009F3D1C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</w:rPr>
        <w:t>Coordinated Public Transit-Human Service Transportation Plan</w:t>
      </w:r>
    </w:p>
    <w:p w:rsidR="003A4813" w:rsidRPr="003A4813" w:rsidRDefault="003A4813" w:rsidP="003A4813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3A4813" w:rsidRPr="003A4813" w:rsidRDefault="003A4813" w:rsidP="003A4813">
      <w:pPr>
        <w:widowControl w:val="0"/>
        <w:tabs>
          <w:tab w:val="left" w:pos="-720"/>
          <w:tab w:val="left" w:pos="0"/>
          <w:tab w:val="left" w:pos="284"/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A4813">
        <w:rPr>
          <w:rFonts w:ascii="Times New Roman" w:eastAsia="Times New Roman" w:hAnsi="Times New Roman" w:cs="Arial"/>
          <w:b/>
          <w:snapToGrid w:val="0"/>
          <w:sz w:val="24"/>
          <w:szCs w:val="24"/>
        </w:rPr>
        <w:t xml:space="preserve">Report: </w:t>
      </w:r>
      <w:r w:rsidRPr="003A4813">
        <w:rPr>
          <w:rFonts w:ascii="Times New Roman" w:eastAsia="Times New Roman" w:hAnsi="Times New Roman" w:cs="Times New Roman"/>
          <w:snapToGrid w:val="0"/>
          <w:sz w:val="24"/>
          <w:szCs w:val="24"/>
        </w:rPr>
        <w:t>The ITCTC adopted the Coordinated Public Transit–Human Service Transportation Plan (Coordinated Plan) in October 2007 and has amended the plan annually from 2009-201</w:t>
      </w:r>
      <w:r w:rsidRPr="00A42906"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r w:rsidRPr="003A48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to identify a list of priority projects for funding. The purpose of this amendment is to revise the Plan’s priorities for 201</w:t>
      </w:r>
      <w:r w:rsidRPr="00A42906">
        <w:rPr>
          <w:rFonts w:ascii="Times New Roman" w:eastAsia="Times New Roman" w:hAnsi="Times New Roman" w:cs="Times New Roman"/>
          <w:snapToGrid w:val="0"/>
          <w:sz w:val="24"/>
          <w:szCs w:val="24"/>
        </w:rPr>
        <w:t>7</w:t>
      </w:r>
      <w:r w:rsidRPr="003A48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 </w:t>
      </w:r>
    </w:p>
    <w:p w:rsidR="003A4813" w:rsidRPr="003A4813" w:rsidRDefault="003A4813" w:rsidP="003A4813">
      <w:pPr>
        <w:widowControl w:val="0"/>
        <w:tabs>
          <w:tab w:val="left" w:pos="-720"/>
          <w:tab w:val="left" w:pos="0"/>
          <w:tab w:val="left" w:pos="284"/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3A4813" w:rsidRPr="003A4813" w:rsidRDefault="003A4813" w:rsidP="003A4813">
      <w:pPr>
        <w:widowControl w:val="0"/>
        <w:tabs>
          <w:tab w:val="left" w:pos="-720"/>
          <w:tab w:val="left" w:pos="0"/>
          <w:tab w:val="left" w:pos="284"/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A4813">
        <w:rPr>
          <w:rFonts w:ascii="Times New Roman" w:eastAsia="Times New Roman" w:hAnsi="Times New Roman" w:cs="Times New Roman"/>
          <w:snapToGrid w:val="0"/>
          <w:sz w:val="24"/>
          <w:szCs w:val="24"/>
        </w:rPr>
        <w:t>The amendment includes awards of:</w:t>
      </w:r>
    </w:p>
    <w:p w:rsidR="003A4813" w:rsidRPr="003A4813" w:rsidRDefault="003A4813" w:rsidP="003A4813">
      <w:pPr>
        <w:widowControl w:val="0"/>
        <w:numPr>
          <w:ilvl w:val="0"/>
          <w:numId w:val="2"/>
        </w:numPr>
        <w:tabs>
          <w:tab w:val="left" w:pos="-720"/>
          <w:tab w:val="left" w:pos="0"/>
          <w:tab w:val="left" w:pos="284"/>
          <w:tab w:val="left" w:pos="720"/>
        </w:tabs>
        <w:suppressAutoHyphens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A48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Special Community Mobility Project grants, (which is funded with Section 5307 Urban Formula funds) shown in Table A; </w:t>
      </w:r>
    </w:p>
    <w:p w:rsidR="003A4813" w:rsidRPr="003A4813" w:rsidRDefault="003A4813" w:rsidP="003A4813">
      <w:pPr>
        <w:widowControl w:val="0"/>
        <w:numPr>
          <w:ilvl w:val="0"/>
          <w:numId w:val="2"/>
        </w:numPr>
        <w:tabs>
          <w:tab w:val="left" w:pos="-720"/>
          <w:tab w:val="left" w:pos="0"/>
          <w:tab w:val="left" w:pos="284"/>
          <w:tab w:val="left" w:pos="720"/>
        </w:tabs>
        <w:suppressAutoHyphens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A4813">
        <w:rPr>
          <w:rFonts w:ascii="Times New Roman" w:eastAsia="Times New Roman" w:hAnsi="Times New Roman" w:cs="Times New Roman"/>
          <w:snapToGrid w:val="0"/>
          <w:sz w:val="24"/>
          <w:szCs w:val="24"/>
        </w:rPr>
        <w:t>Mobility Management projects included in the County’s FFY 201</w:t>
      </w:r>
      <w:r w:rsidRPr="00A42906">
        <w:rPr>
          <w:rFonts w:ascii="Times New Roman" w:eastAsia="Times New Roman" w:hAnsi="Times New Roman" w:cs="Times New Roman"/>
          <w:snapToGrid w:val="0"/>
          <w:sz w:val="24"/>
          <w:szCs w:val="24"/>
        </w:rPr>
        <w:t>7</w:t>
      </w:r>
      <w:r w:rsidRPr="003A48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Section 5307 Urban Formula Grant shown in Table B; </w:t>
      </w:r>
    </w:p>
    <w:p w:rsidR="003A4813" w:rsidRPr="003A4813" w:rsidRDefault="003A4813" w:rsidP="003A4813">
      <w:pPr>
        <w:widowControl w:val="0"/>
        <w:numPr>
          <w:ilvl w:val="0"/>
          <w:numId w:val="2"/>
        </w:numPr>
        <w:tabs>
          <w:tab w:val="left" w:pos="-720"/>
          <w:tab w:val="left" w:pos="0"/>
          <w:tab w:val="left" w:pos="284"/>
          <w:tab w:val="left" w:pos="720"/>
        </w:tabs>
        <w:suppressAutoHyphens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A48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Capital and Operating Assistance Projects though the Section 5310 Enhanced Mobility for </w:t>
      </w:r>
      <w:proofErr w:type="gramStart"/>
      <w:r w:rsidRPr="003A4813">
        <w:rPr>
          <w:rFonts w:ascii="Times New Roman" w:eastAsia="Times New Roman" w:hAnsi="Times New Roman" w:cs="Times New Roman"/>
          <w:snapToGrid w:val="0"/>
          <w:sz w:val="24"/>
          <w:szCs w:val="24"/>
        </w:rPr>
        <w:t>Seniors</w:t>
      </w:r>
      <w:proofErr w:type="gramEnd"/>
      <w:r w:rsidRPr="003A48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and Individuals with Disabilities Program shown in Table C. </w:t>
      </w:r>
    </w:p>
    <w:p w:rsidR="003A4813" w:rsidRPr="003A4813" w:rsidRDefault="003A4813" w:rsidP="003A4813">
      <w:pPr>
        <w:widowControl w:val="0"/>
        <w:tabs>
          <w:tab w:val="left" w:pos="-720"/>
          <w:tab w:val="left" w:pos="0"/>
          <w:tab w:val="left" w:pos="284"/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A4813" w:rsidRPr="003A4813" w:rsidRDefault="003A4813" w:rsidP="003A4813">
      <w:pPr>
        <w:widowControl w:val="0"/>
        <w:tabs>
          <w:tab w:val="left" w:pos="-720"/>
          <w:tab w:val="left" w:pos="0"/>
          <w:tab w:val="left" w:pos="284"/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A4813">
        <w:rPr>
          <w:rFonts w:ascii="Times New Roman" w:eastAsia="Times New Roman" w:hAnsi="Times New Roman" w:cs="Times New Roman"/>
          <w:snapToGrid w:val="0"/>
          <w:sz w:val="24"/>
          <w:szCs w:val="24"/>
        </w:rPr>
        <w:t>This amendment is a comprehensive list of projects reviewed and recommended through the Coordinated Transportation Planning program in 2015 which will be implemented in 201</w:t>
      </w:r>
      <w:r w:rsidRPr="00A42906">
        <w:rPr>
          <w:rFonts w:ascii="Times New Roman" w:eastAsia="Times New Roman" w:hAnsi="Times New Roman" w:cs="Times New Roman"/>
          <w:snapToGrid w:val="0"/>
          <w:sz w:val="24"/>
          <w:szCs w:val="24"/>
        </w:rPr>
        <w:t>7</w:t>
      </w:r>
      <w:r w:rsidRPr="003A48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 </w:t>
      </w:r>
    </w:p>
    <w:p w:rsidR="003A4813" w:rsidRPr="003A4813" w:rsidRDefault="003A4813" w:rsidP="003A4813">
      <w:pPr>
        <w:widowControl w:val="0"/>
        <w:rPr>
          <w:rFonts w:ascii="Times Roman" w:eastAsia="Times New Roman" w:hAnsi="Times Roman" w:cs="Times New Roman"/>
          <w:snapToGrid w:val="0"/>
          <w:sz w:val="24"/>
          <w:szCs w:val="24"/>
        </w:rPr>
      </w:pPr>
    </w:p>
    <w:p w:rsidR="003A4813" w:rsidRPr="003A4813" w:rsidRDefault="003A4813" w:rsidP="003A4813">
      <w:pPr>
        <w:keepNext/>
        <w:widowControl w:val="0"/>
        <w:tabs>
          <w:tab w:val="center" w:pos="5400"/>
        </w:tabs>
        <w:suppressAutoHyphens/>
        <w:jc w:val="both"/>
        <w:outlineLvl w:val="1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</w:rPr>
      </w:pPr>
      <w:r w:rsidRPr="003A4813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Actions Requested</w:t>
      </w:r>
      <w:r w:rsidRPr="003A4813">
        <w:rPr>
          <w:rFonts w:ascii="Times New Roman" w:eastAsia="Times New Roman" w:hAnsi="Times New Roman" w:cs="Times New Roman"/>
          <w:snapToGrid w:val="0"/>
          <w:sz w:val="24"/>
          <w:szCs w:val="24"/>
        </w:rPr>
        <w:t>: Planning Committee recommendation and Policy Committee approval of the proposed 201</w:t>
      </w:r>
      <w:r w:rsidRPr="00A42906">
        <w:rPr>
          <w:rFonts w:ascii="Times New Roman" w:eastAsia="Times New Roman" w:hAnsi="Times New Roman" w:cs="Times New Roman"/>
          <w:snapToGrid w:val="0"/>
          <w:sz w:val="24"/>
          <w:szCs w:val="24"/>
        </w:rPr>
        <w:t>6</w:t>
      </w:r>
      <w:r w:rsidRPr="003A48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Amendment to the Tompkins County Coordinated Public Transit–Human Service Transportation Plan to revise the Plan’s priority projects for 201</w:t>
      </w:r>
      <w:r w:rsidRPr="00A42906">
        <w:rPr>
          <w:rFonts w:ascii="Times New Roman" w:eastAsia="Times New Roman" w:hAnsi="Times New Roman" w:cs="Times New Roman"/>
          <w:snapToGrid w:val="0"/>
          <w:sz w:val="24"/>
          <w:szCs w:val="24"/>
        </w:rPr>
        <w:t>7</w:t>
      </w:r>
      <w:r w:rsidRPr="003A48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as shown in Tables A-C.</w:t>
      </w:r>
    </w:p>
    <w:p w:rsidR="003A4813" w:rsidRPr="003A4813" w:rsidRDefault="003A4813" w:rsidP="003A4813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3A4813" w:rsidRPr="003A4813" w:rsidRDefault="003A4813" w:rsidP="003A4813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3A4813">
        <w:rPr>
          <w:rFonts w:ascii="Times New Roman" w:eastAsia="Times New Roman" w:hAnsi="Times New Roman" w:cs="Times New Roman"/>
          <w:b/>
          <w:snapToGrid w:val="0"/>
        </w:rPr>
        <w:t>Tables A</w:t>
      </w:r>
      <w:proofErr w:type="gramStart"/>
      <w:r w:rsidRPr="003A4813">
        <w:rPr>
          <w:rFonts w:ascii="Times New Roman" w:eastAsia="Times New Roman" w:hAnsi="Times New Roman" w:cs="Times New Roman"/>
          <w:b/>
          <w:snapToGrid w:val="0"/>
        </w:rPr>
        <w:t>,B</w:t>
      </w:r>
      <w:proofErr w:type="gramEnd"/>
      <w:r w:rsidRPr="003A4813">
        <w:rPr>
          <w:rFonts w:ascii="Times New Roman" w:eastAsia="Times New Roman" w:hAnsi="Times New Roman" w:cs="Times New Roman"/>
          <w:b/>
          <w:snapToGrid w:val="0"/>
        </w:rPr>
        <w:t xml:space="preserve"> &amp; C: Priority Projects for FTA Coordinated Transportation Projects for 201</w:t>
      </w:r>
      <w:r>
        <w:rPr>
          <w:rFonts w:ascii="Times New Roman" w:eastAsia="Times New Roman" w:hAnsi="Times New Roman" w:cs="Times New Roman"/>
          <w:b/>
          <w:snapToGrid w:val="0"/>
        </w:rPr>
        <w:t>7</w:t>
      </w:r>
      <w:r w:rsidRPr="003A4813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3A4813" w:rsidRPr="003A4813" w:rsidRDefault="003A4813" w:rsidP="003A4813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3A4813" w:rsidRPr="003A4813" w:rsidRDefault="003A4813" w:rsidP="003A4813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3A4813" w:rsidRPr="003A4813" w:rsidRDefault="003A4813" w:rsidP="003A4813">
      <w:pPr>
        <w:widowControl w:val="0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3A4813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Table A</w:t>
      </w:r>
    </w:p>
    <w:p w:rsidR="003A4813" w:rsidRPr="003A4813" w:rsidRDefault="003A4813" w:rsidP="003A4813">
      <w:pPr>
        <w:widowControl w:val="0"/>
        <w:jc w:val="center"/>
        <w:rPr>
          <w:rFonts w:ascii="Times Roman" w:eastAsia="Times New Roman" w:hAnsi="Times Roman" w:cs="Times New Roman"/>
          <w:snapToGrid w:val="0"/>
          <w:sz w:val="24"/>
          <w:szCs w:val="20"/>
        </w:rPr>
      </w:pPr>
      <w:r>
        <w:rPr>
          <w:noProof/>
        </w:rPr>
        <w:drawing>
          <wp:inline distT="0" distB="0" distL="0" distR="0" wp14:anchorId="3C448BCE" wp14:editId="4E2CD657">
            <wp:extent cx="7210845" cy="353377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6530" cy="353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813" w:rsidRPr="003A4813" w:rsidRDefault="003A4813" w:rsidP="003A4813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3A4813" w:rsidRPr="003A4813" w:rsidRDefault="003A4813" w:rsidP="003A4813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3A4813" w:rsidRPr="003A4813" w:rsidRDefault="003A4813" w:rsidP="003A4813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3A4813" w:rsidRPr="003A4813" w:rsidRDefault="003A4813" w:rsidP="003A4813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3A4813" w:rsidRPr="003A4813" w:rsidRDefault="003A4813" w:rsidP="003A4813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3A4813" w:rsidRPr="003A4813" w:rsidRDefault="003A4813" w:rsidP="003A4813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3A4813" w:rsidRPr="003A4813" w:rsidRDefault="003A4813" w:rsidP="003A4813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3A4813" w:rsidRDefault="003A4813" w:rsidP="003A4813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3A4813" w:rsidRPr="003A4813" w:rsidRDefault="003A4813" w:rsidP="003A4813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3A4813" w:rsidRPr="003A4813" w:rsidRDefault="003A4813" w:rsidP="003A4813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3A4813" w:rsidRPr="003A4813" w:rsidRDefault="003A4813" w:rsidP="003A4813">
      <w:pPr>
        <w:widowControl w:val="0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3A4813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Table B</w:t>
      </w:r>
    </w:p>
    <w:tbl>
      <w:tblPr>
        <w:tblW w:w="9702" w:type="dxa"/>
        <w:jc w:val="center"/>
        <w:tblLook w:val="04A0" w:firstRow="1" w:lastRow="0" w:firstColumn="1" w:lastColumn="0" w:noHBand="0" w:noVBand="1"/>
      </w:tblPr>
      <w:tblGrid>
        <w:gridCol w:w="3510"/>
        <w:gridCol w:w="1530"/>
        <w:gridCol w:w="1530"/>
        <w:gridCol w:w="1710"/>
        <w:gridCol w:w="1422"/>
      </w:tblGrid>
      <w:tr w:rsidR="003A4813" w:rsidRPr="003A4813" w:rsidTr="00686290">
        <w:trPr>
          <w:trHeight w:val="30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813" w:rsidRPr="003A4813" w:rsidRDefault="003A4813" w:rsidP="003A4813">
            <w:pPr>
              <w:widowControl w:val="0"/>
              <w:rPr>
                <w:rFonts w:ascii="Calibri" w:eastAsia="Times New Roman" w:hAnsi="Calibri" w:cs="Calibri"/>
                <w:b/>
                <w:snapToGrid w:val="0"/>
                <w:color w:val="000000"/>
                <w:sz w:val="20"/>
                <w:szCs w:val="20"/>
              </w:rPr>
            </w:pPr>
            <w:r w:rsidRPr="003A4813">
              <w:rPr>
                <w:rFonts w:ascii="Calibri" w:eastAsia="Times New Roman" w:hAnsi="Calibri" w:cs="Calibri"/>
                <w:b/>
                <w:snapToGrid w:val="0"/>
                <w:color w:val="000000"/>
                <w:sz w:val="20"/>
                <w:szCs w:val="20"/>
              </w:rPr>
              <w:t xml:space="preserve">Mobility Management Projects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813" w:rsidRPr="003A4813" w:rsidRDefault="003A4813" w:rsidP="003A4813">
            <w:pPr>
              <w:widowControl w:val="0"/>
              <w:jc w:val="center"/>
              <w:rPr>
                <w:rFonts w:ascii="Calibri" w:eastAsia="Times New Roman" w:hAnsi="Calibri" w:cs="Calibri"/>
                <w:b/>
                <w:snapToGrid w:val="0"/>
                <w:color w:val="000000"/>
                <w:sz w:val="20"/>
                <w:szCs w:val="20"/>
              </w:rPr>
            </w:pPr>
            <w:r w:rsidRPr="003A4813">
              <w:rPr>
                <w:rFonts w:ascii="Calibri" w:eastAsia="Times New Roman" w:hAnsi="Calibri" w:cs="Calibri"/>
                <w:b/>
                <w:snapToGrid w:val="0"/>
                <w:color w:val="000000"/>
                <w:sz w:val="20"/>
                <w:szCs w:val="20"/>
              </w:rPr>
              <w:t xml:space="preserve">Federal </w:t>
            </w:r>
          </w:p>
          <w:p w:rsidR="003A4813" w:rsidRPr="003A4813" w:rsidRDefault="003A4813" w:rsidP="003A4813">
            <w:pPr>
              <w:widowControl w:val="0"/>
              <w:jc w:val="center"/>
              <w:rPr>
                <w:rFonts w:ascii="Calibri" w:eastAsia="Times New Roman" w:hAnsi="Calibri" w:cs="Calibri"/>
                <w:b/>
                <w:snapToGrid w:val="0"/>
                <w:color w:val="000000"/>
                <w:sz w:val="20"/>
                <w:szCs w:val="20"/>
              </w:rPr>
            </w:pPr>
            <w:r w:rsidRPr="003A4813">
              <w:rPr>
                <w:rFonts w:ascii="Calibri" w:eastAsia="Times New Roman" w:hAnsi="Calibri" w:cs="Calibri"/>
                <w:b/>
                <w:snapToGrid w:val="0"/>
                <w:color w:val="000000"/>
                <w:sz w:val="20"/>
                <w:szCs w:val="20"/>
              </w:rPr>
              <w:t>Sec 5307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813" w:rsidRPr="003A4813" w:rsidRDefault="003A4813" w:rsidP="003A4813">
            <w:pPr>
              <w:widowControl w:val="0"/>
              <w:jc w:val="center"/>
              <w:rPr>
                <w:rFonts w:ascii="Calibri" w:eastAsia="Times New Roman" w:hAnsi="Calibri" w:cs="Calibri"/>
                <w:b/>
                <w:snapToGrid w:val="0"/>
                <w:color w:val="000000"/>
                <w:sz w:val="20"/>
                <w:szCs w:val="20"/>
              </w:rPr>
            </w:pPr>
            <w:r w:rsidRPr="003A4813">
              <w:rPr>
                <w:rFonts w:ascii="Calibri" w:eastAsia="Times New Roman" w:hAnsi="Calibri" w:cs="Calibri"/>
                <w:b/>
                <w:snapToGrid w:val="0"/>
                <w:color w:val="000000"/>
                <w:sz w:val="20"/>
                <w:szCs w:val="20"/>
              </w:rPr>
              <w:t>NYSDOT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813" w:rsidRPr="003A4813" w:rsidRDefault="003A4813" w:rsidP="003A4813">
            <w:pPr>
              <w:widowControl w:val="0"/>
              <w:jc w:val="center"/>
              <w:rPr>
                <w:rFonts w:ascii="Calibri" w:eastAsia="Times New Roman" w:hAnsi="Calibri" w:cs="Calibri"/>
                <w:b/>
                <w:snapToGrid w:val="0"/>
                <w:color w:val="000000"/>
                <w:sz w:val="20"/>
                <w:szCs w:val="20"/>
              </w:rPr>
            </w:pPr>
            <w:r w:rsidRPr="003A4813">
              <w:rPr>
                <w:rFonts w:ascii="Calibri" w:eastAsia="Times New Roman" w:hAnsi="Calibri" w:cs="Calibri"/>
                <w:b/>
                <w:snapToGrid w:val="0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813" w:rsidRPr="003A4813" w:rsidRDefault="003A4813" w:rsidP="003A4813">
            <w:pPr>
              <w:widowControl w:val="0"/>
              <w:jc w:val="center"/>
              <w:rPr>
                <w:rFonts w:ascii="Calibri" w:eastAsia="Times New Roman" w:hAnsi="Calibri" w:cs="Calibri"/>
                <w:b/>
                <w:snapToGrid w:val="0"/>
                <w:color w:val="000000"/>
                <w:sz w:val="20"/>
                <w:szCs w:val="20"/>
              </w:rPr>
            </w:pPr>
            <w:r w:rsidRPr="003A4813">
              <w:rPr>
                <w:rFonts w:ascii="Calibri" w:eastAsia="Times New Roman" w:hAnsi="Calibri" w:cs="Calibri"/>
                <w:b/>
                <w:snapToGrid w:val="0"/>
                <w:color w:val="000000"/>
                <w:sz w:val="20"/>
                <w:szCs w:val="20"/>
              </w:rPr>
              <w:t>Total</w:t>
            </w:r>
          </w:p>
        </w:tc>
      </w:tr>
      <w:tr w:rsidR="00A42906" w:rsidRPr="003A4813" w:rsidTr="00686290">
        <w:trPr>
          <w:trHeight w:val="305"/>
          <w:jc w:val="center"/>
        </w:trPr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906" w:rsidRDefault="00A4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Way2Go/ Tompkins County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06" w:rsidRDefault="00A4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220,000 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06" w:rsidRDefault="00A4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27,500 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06" w:rsidRDefault="00A4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27,500 </w:t>
            </w:r>
          </w:p>
        </w:tc>
        <w:tc>
          <w:tcPr>
            <w:tcW w:w="14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06" w:rsidRDefault="00A4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275,000 </w:t>
            </w:r>
          </w:p>
        </w:tc>
      </w:tr>
      <w:tr w:rsidR="00A42906" w:rsidRPr="003A4813" w:rsidTr="00686290">
        <w:trPr>
          <w:trHeight w:val="251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906" w:rsidRDefault="00A4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Way2Go/ Regional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06" w:rsidRDefault="00A4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130,000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06" w:rsidRDefault="00A4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16,250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06" w:rsidRDefault="00A4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16,250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06" w:rsidRDefault="00A4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162,500 </w:t>
            </w:r>
          </w:p>
        </w:tc>
      </w:tr>
      <w:tr w:rsidR="00A42906" w:rsidRPr="003A4813" w:rsidTr="00686290">
        <w:trPr>
          <w:trHeight w:val="305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906" w:rsidRDefault="00A4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Finger Lakes Rideshare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06" w:rsidRDefault="00A4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8,000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06" w:rsidRDefault="00A4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1,000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06" w:rsidRDefault="00A4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1,000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06" w:rsidRDefault="00A4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10,000 </w:t>
            </w:r>
          </w:p>
        </w:tc>
      </w:tr>
      <w:tr w:rsidR="00A42906" w:rsidRPr="003A4813" w:rsidTr="00686290">
        <w:trPr>
          <w:trHeight w:val="305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906" w:rsidRPr="00A42906" w:rsidRDefault="00A42906">
            <w:pPr>
              <w:rPr>
                <w:rFonts w:ascii="Calibri" w:hAnsi="Calibri" w:cs="Calibri"/>
                <w:b/>
                <w:color w:val="000000"/>
              </w:rPr>
            </w:pPr>
            <w:r w:rsidRPr="00A42906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06" w:rsidRPr="00A42906" w:rsidRDefault="00A42906">
            <w:pPr>
              <w:rPr>
                <w:rFonts w:ascii="Calibri" w:hAnsi="Calibri" w:cs="Calibri"/>
                <w:b/>
                <w:color w:val="000000"/>
              </w:rPr>
            </w:pPr>
            <w:r w:rsidRPr="00A42906">
              <w:rPr>
                <w:rFonts w:ascii="Calibri" w:hAnsi="Calibri" w:cs="Calibri"/>
                <w:b/>
                <w:color w:val="000000"/>
              </w:rPr>
              <w:t xml:space="preserve"> $   358,000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06" w:rsidRPr="00A42906" w:rsidRDefault="00A42906">
            <w:pPr>
              <w:rPr>
                <w:rFonts w:ascii="Calibri" w:hAnsi="Calibri" w:cs="Calibri"/>
                <w:b/>
                <w:color w:val="000000"/>
              </w:rPr>
            </w:pPr>
            <w:r w:rsidRPr="00A42906">
              <w:rPr>
                <w:rFonts w:ascii="Calibri" w:hAnsi="Calibri" w:cs="Calibri"/>
                <w:b/>
                <w:color w:val="000000"/>
              </w:rPr>
              <w:t xml:space="preserve"> $       44,750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06" w:rsidRPr="00A42906" w:rsidRDefault="00A42906">
            <w:pPr>
              <w:rPr>
                <w:rFonts w:ascii="Calibri" w:hAnsi="Calibri" w:cs="Calibri"/>
                <w:b/>
                <w:color w:val="000000"/>
              </w:rPr>
            </w:pPr>
            <w:r w:rsidRPr="00A42906">
              <w:rPr>
                <w:rFonts w:ascii="Calibri" w:hAnsi="Calibri" w:cs="Calibri"/>
                <w:b/>
                <w:color w:val="000000"/>
              </w:rPr>
              <w:t xml:space="preserve"> $        44,750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906" w:rsidRPr="00A42906" w:rsidRDefault="00A42906">
            <w:pPr>
              <w:rPr>
                <w:rFonts w:ascii="Calibri" w:hAnsi="Calibri" w:cs="Calibri"/>
                <w:b/>
                <w:color w:val="000000"/>
              </w:rPr>
            </w:pPr>
            <w:r w:rsidRPr="00A42906">
              <w:rPr>
                <w:rFonts w:ascii="Calibri" w:hAnsi="Calibri" w:cs="Calibri"/>
                <w:b/>
                <w:color w:val="000000"/>
              </w:rPr>
              <w:t xml:space="preserve"> $     447,500 </w:t>
            </w:r>
          </w:p>
        </w:tc>
      </w:tr>
    </w:tbl>
    <w:p w:rsidR="003A4813" w:rsidRPr="003A4813" w:rsidRDefault="003A4813" w:rsidP="003A4813">
      <w:pPr>
        <w:widowControl w:val="0"/>
        <w:rPr>
          <w:rFonts w:ascii="Calibri" w:eastAsia="Times New Roman" w:hAnsi="Calibri" w:cs="Calibri"/>
          <w:snapToGrid w:val="0"/>
          <w:sz w:val="24"/>
          <w:szCs w:val="20"/>
        </w:rPr>
      </w:pPr>
    </w:p>
    <w:p w:rsidR="003A4813" w:rsidRPr="003A4813" w:rsidRDefault="003A4813" w:rsidP="003A4813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3A4813" w:rsidRPr="003A4813" w:rsidRDefault="003A4813" w:rsidP="003A4813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3A4813" w:rsidRPr="003A4813" w:rsidRDefault="003A4813" w:rsidP="003A4813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3A4813" w:rsidRPr="003A4813" w:rsidRDefault="003A4813" w:rsidP="003A4813">
      <w:pPr>
        <w:widowControl w:val="0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3A4813" w:rsidRPr="003A4813" w:rsidRDefault="003A4813" w:rsidP="003A4813">
      <w:pPr>
        <w:widowControl w:val="0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3A4813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Table C</w:t>
      </w:r>
    </w:p>
    <w:tbl>
      <w:tblPr>
        <w:tblW w:w="8812" w:type="dxa"/>
        <w:jc w:val="center"/>
        <w:tblLook w:val="04A0" w:firstRow="1" w:lastRow="0" w:firstColumn="1" w:lastColumn="0" w:noHBand="0" w:noVBand="1"/>
      </w:tblPr>
      <w:tblGrid>
        <w:gridCol w:w="3540"/>
        <w:gridCol w:w="1515"/>
        <w:gridCol w:w="1317"/>
        <w:gridCol w:w="1220"/>
        <w:gridCol w:w="1220"/>
      </w:tblGrid>
      <w:tr w:rsidR="003A4813" w:rsidRPr="003A4813" w:rsidTr="00686290">
        <w:trPr>
          <w:trHeight w:val="300"/>
          <w:jc w:val="center"/>
        </w:trPr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48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Section 5310 Enhanced Mobility for Seniors and Individuals with Disabilities</w:t>
            </w:r>
          </w:p>
        </w:tc>
      </w:tr>
      <w:tr w:rsidR="003A4813" w:rsidRPr="003A4813" w:rsidTr="00686290">
        <w:trPr>
          <w:trHeight w:val="30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A4813">
              <w:rPr>
                <w:rFonts w:ascii="Calibri" w:eastAsia="Times New Roman" w:hAnsi="Calibri" w:cs="Calibri"/>
                <w:b/>
                <w:color w:val="000000"/>
              </w:rPr>
              <w:t>GADABOUT Projects: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A4813">
              <w:rPr>
                <w:rFonts w:ascii="Calibri" w:eastAsia="Times New Roman" w:hAnsi="Calibri" w:cs="Calibri"/>
                <w:b/>
                <w:color w:val="000000"/>
              </w:rPr>
              <w:t xml:space="preserve">Federal </w:t>
            </w:r>
          </w:p>
          <w:p w:rsidR="003A4813" w:rsidRPr="003A4813" w:rsidRDefault="003A4813" w:rsidP="003A4813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A4813">
              <w:rPr>
                <w:rFonts w:ascii="Calibri" w:eastAsia="Times New Roman" w:hAnsi="Calibri" w:cs="Calibri"/>
                <w:b/>
                <w:color w:val="000000"/>
              </w:rPr>
              <w:t>Sec 5310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A4813">
              <w:rPr>
                <w:rFonts w:ascii="Calibri" w:eastAsia="Times New Roman" w:hAnsi="Calibri" w:cs="Calibri"/>
                <w:b/>
                <w:color w:val="000000"/>
              </w:rPr>
              <w:t>State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A4813">
              <w:rPr>
                <w:rFonts w:ascii="Calibri" w:eastAsia="Times New Roman" w:hAnsi="Calibri" w:cs="Calibri"/>
                <w:b/>
                <w:color w:val="000000"/>
              </w:rPr>
              <w:t>Gadabout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A4813">
              <w:rPr>
                <w:rFonts w:ascii="Calibri" w:eastAsia="Times New Roman" w:hAnsi="Calibri" w:cs="Calibri"/>
                <w:b/>
                <w:color w:val="000000"/>
              </w:rPr>
              <w:t>Total</w:t>
            </w:r>
          </w:p>
        </w:tc>
      </w:tr>
      <w:tr w:rsidR="003A4813" w:rsidRPr="003A4813" w:rsidTr="00686290">
        <w:trPr>
          <w:trHeight w:val="300"/>
          <w:jc w:val="center"/>
        </w:trPr>
        <w:tc>
          <w:tcPr>
            <w:tcW w:w="3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rPr>
                <w:rFonts w:ascii="Calibri" w:eastAsia="Times New Roman" w:hAnsi="Calibri" w:cs="Calibri"/>
                <w:color w:val="000000"/>
              </w:rPr>
            </w:pPr>
            <w:r w:rsidRPr="003A4813">
              <w:rPr>
                <w:rFonts w:ascii="Calibri" w:eastAsia="Times New Roman" w:hAnsi="Calibri" w:cs="Calibri"/>
                <w:color w:val="000000"/>
              </w:rPr>
              <w:t>New Freedom Operating Assistance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A42906">
            <w:pPr>
              <w:rPr>
                <w:rFonts w:ascii="Calibri" w:eastAsia="Times New Roman" w:hAnsi="Calibri" w:cs="Calibri"/>
                <w:color w:val="000000"/>
              </w:rPr>
            </w:pPr>
            <w:r w:rsidRPr="003A4813">
              <w:rPr>
                <w:rFonts w:ascii="Calibri" w:eastAsia="Times New Roman" w:hAnsi="Calibri" w:cs="Calibri"/>
                <w:color w:val="000000"/>
              </w:rPr>
              <w:t xml:space="preserve"> $          4</w:t>
            </w:r>
            <w:r w:rsidR="00A42906">
              <w:rPr>
                <w:rFonts w:ascii="Calibri" w:eastAsia="Times New Roman" w:hAnsi="Calibri" w:cs="Calibri"/>
                <w:color w:val="000000"/>
              </w:rPr>
              <w:t>1</w:t>
            </w:r>
            <w:r w:rsidRPr="003A4813">
              <w:rPr>
                <w:rFonts w:ascii="Calibri" w:eastAsia="Times New Roman" w:hAnsi="Calibri" w:cs="Calibri"/>
                <w:color w:val="000000"/>
              </w:rPr>
              <w:t xml:space="preserve">,000 </w:t>
            </w:r>
          </w:p>
        </w:tc>
        <w:tc>
          <w:tcPr>
            <w:tcW w:w="13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rPr>
                <w:rFonts w:ascii="Calibri" w:eastAsia="Times New Roman" w:hAnsi="Calibri" w:cs="Calibri"/>
                <w:color w:val="000000"/>
              </w:rPr>
            </w:pPr>
            <w:r w:rsidRPr="003A4813">
              <w:rPr>
                <w:rFonts w:ascii="Calibri" w:eastAsia="Times New Roman" w:hAnsi="Calibri" w:cs="Calibri"/>
                <w:color w:val="000000"/>
              </w:rPr>
              <w:t xml:space="preserve"> $      20,000 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A42906">
            <w:pPr>
              <w:rPr>
                <w:rFonts w:ascii="Calibri" w:eastAsia="Times New Roman" w:hAnsi="Calibri" w:cs="Calibri"/>
                <w:color w:val="000000"/>
              </w:rPr>
            </w:pPr>
            <w:r w:rsidRPr="003A4813">
              <w:rPr>
                <w:rFonts w:ascii="Calibri" w:eastAsia="Times New Roman" w:hAnsi="Calibri" w:cs="Calibri"/>
                <w:color w:val="000000"/>
              </w:rPr>
              <w:t xml:space="preserve"> $    2</w:t>
            </w:r>
            <w:r w:rsidR="00A42906">
              <w:rPr>
                <w:rFonts w:ascii="Calibri" w:eastAsia="Times New Roman" w:hAnsi="Calibri" w:cs="Calibri"/>
                <w:color w:val="000000"/>
              </w:rPr>
              <w:t>1</w:t>
            </w:r>
            <w:r w:rsidRPr="003A4813">
              <w:rPr>
                <w:rFonts w:ascii="Calibri" w:eastAsia="Times New Roman" w:hAnsi="Calibri" w:cs="Calibri"/>
                <w:color w:val="000000"/>
              </w:rPr>
              <w:t>,</w:t>
            </w:r>
            <w:r w:rsidR="00A42906">
              <w:rPr>
                <w:rFonts w:ascii="Calibri" w:eastAsia="Times New Roman" w:hAnsi="Calibri" w:cs="Calibri"/>
                <w:color w:val="000000"/>
              </w:rPr>
              <w:t>000</w:t>
            </w:r>
            <w:r w:rsidRPr="003A481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A42906">
            <w:pPr>
              <w:rPr>
                <w:rFonts w:ascii="Calibri" w:eastAsia="Times New Roman" w:hAnsi="Calibri" w:cs="Calibri"/>
                <w:color w:val="000000"/>
              </w:rPr>
            </w:pPr>
            <w:r w:rsidRPr="003A4813">
              <w:rPr>
                <w:rFonts w:ascii="Calibri" w:eastAsia="Times New Roman" w:hAnsi="Calibri" w:cs="Calibri"/>
                <w:color w:val="000000"/>
              </w:rPr>
              <w:t xml:space="preserve"> $    8</w:t>
            </w:r>
            <w:r w:rsidR="00A42906">
              <w:rPr>
                <w:rFonts w:ascii="Calibri" w:eastAsia="Times New Roman" w:hAnsi="Calibri" w:cs="Calibri"/>
                <w:color w:val="000000"/>
              </w:rPr>
              <w:t>2</w:t>
            </w:r>
            <w:r w:rsidRPr="003A4813">
              <w:rPr>
                <w:rFonts w:ascii="Calibri" w:eastAsia="Times New Roman" w:hAnsi="Calibri" w:cs="Calibri"/>
                <w:color w:val="000000"/>
              </w:rPr>
              <w:t>,</w:t>
            </w:r>
            <w:r w:rsidR="00A42906">
              <w:rPr>
                <w:rFonts w:ascii="Calibri" w:eastAsia="Times New Roman" w:hAnsi="Calibri" w:cs="Calibri"/>
                <w:color w:val="000000"/>
              </w:rPr>
              <w:t>000</w:t>
            </w:r>
            <w:r w:rsidRPr="003A481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A4813" w:rsidRPr="003A4813" w:rsidTr="00686290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rPr>
                <w:rFonts w:ascii="Calibri" w:eastAsia="Times New Roman" w:hAnsi="Calibri" w:cs="Calibri"/>
                <w:color w:val="000000"/>
              </w:rPr>
            </w:pPr>
            <w:r w:rsidRPr="003A4813">
              <w:rPr>
                <w:rFonts w:ascii="Calibri" w:eastAsia="Times New Roman" w:hAnsi="Calibri" w:cs="Calibri"/>
                <w:color w:val="000000"/>
              </w:rPr>
              <w:t>Purchase (2) Buses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A42906">
            <w:pPr>
              <w:rPr>
                <w:rFonts w:ascii="Calibri" w:eastAsia="Times New Roman" w:hAnsi="Calibri" w:cs="Calibri"/>
                <w:color w:val="000000"/>
              </w:rPr>
            </w:pPr>
            <w:r w:rsidRPr="003A4813"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="00A42906">
              <w:rPr>
                <w:rFonts w:ascii="Calibri" w:eastAsia="Times New Roman" w:hAnsi="Calibri" w:cs="Calibri"/>
                <w:color w:val="000000"/>
              </w:rPr>
              <w:t>86,000</w:t>
            </w:r>
            <w:r w:rsidRPr="003A481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A42906">
            <w:pPr>
              <w:rPr>
                <w:rFonts w:ascii="Calibri" w:eastAsia="Times New Roman" w:hAnsi="Calibri" w:cs="Calibri"/>
                <w:color w:val="000000"/>
              </w:rPr>
            </w:pPr>
            <w:r w:rsidRPr="003A4813"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A42906">
              <w:rPr>
                <w:rFonts w:ascii="Calibri" w:eastAsia="Times New Roman" w:hAnsi="Calibri" w:cs="Calibri"/>
                <w:color w:val="000000"/>
              </w:rPr>
              <w:t>0</w:t>
            </w:r>
            <w:r w:rsidRPr="003A481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A42906">
            <w:pPr>
              <w:rPr>
                <w:rFonts w:ascii="Calibri" w:eastAsia="Times New Roman" w:hAnsi="Calibri" w:cs="Calibri"/>
                <w:color w:val="000000"/>
              </w:rPr>
            </w:pPr>
            <w:r w:rsidRPr="003A4813">
              <w:rPr>
                <w:rFonts w:ascii="Calibri" w:eastAsia="Times New Roman" w:hAnsi="Calibri" w:cs="Calibri"/>
                <w:color w:val="000000"/>
              </w:rPr>
              <w:t xml:space="preserve"> $    </w:t>
            </w:r>
            <w:r w:rsidR="00A42906">
              <w:rPr>
                <w:rFonts w:ascii="Calibri" w:eastAsia="Times New Roman" w:hAnsi="Calibri" w:cs="Calibri"/>
                <w:color w:val="000000"/>
              </w:rPr>
              <w:t>22,000</w:t>
            </w:r>
            <w:r w:rsidRPr="003A481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A42906">
            <w:pPr>
              <w:rPr>
                <w:rFonts w:ascii="Calibri" w:eastAsia="Times New Roman" w:hAnsi="Calibri" w:cs="Calibri"/>
                <w:color w:val="000000"/>
              </w:rPr>
            </w:pPr>
            <w:r w:rsidRPr="003A4813">
              <w:rPr>
                <w:rFonts w:ascii="Calibri" w:eastAsia="Times New Roman" w:hAnsi="Calibri" w:cs="Calibri"/>
                <w:color w:val="000000"/>
              </w:rPr>
              <w:t xml:space="preserve"> $  </w:t>
            </w:r>
            <w:r w:rsidR="00A42906">
              <w:rPr>
                <w:rFonts w:ascii="Calibri" w:eastAsia="Times New Roman" w:hAnsi="Calibri" w:cs="Calibri"/>
                <w:color w:val="000000"/>
              </w:rPr>
              <w:t>108,000</w:t>
            </w:r>
            <w:r w:rsidRPr="003A481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42906" w:rsidRPr="003A4813" w:rsidTr="00686290">
        <w:trPr>
          <w:trHeight w:val="300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06" w:rsidRPr="003A4813" w:rsidRDefault="00A42906" w:rsidP="003A4813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A4813">
              <w:rPr>
                <w:rFonts w:ascii="Calibri" w:eastAsia="Times New Roman" w:hAnsi="Calibri" w:cs="Calibri"/>
                <w:b/>
                <w:color w:val="000000"/>
              </w:rPr>
              <w:t>Total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06" w:rsidRPr="00A42906" w:rsidRDefault="00A4290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42906">
              <w:rPr>
                <w:rFonts w:ascii="Calibri" w:hAnsi="Calibri" w:cs="Calibri"/>
                <w:b/>
                <w:color w:val="000000"/>
              </w:rPr>
              <w:t xml:space="preserve">$127,000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06" w:rsidRPr="00A42906" w:rsidRDefault="00A4290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42906">
              <w:rPr>
                <w:rFonts w:ascii="Calibri" w:hAnsi="Calibri" w:cs="Calibri"/>
                <w:b/>
                <w:color w:val="000000"/>
              </w:rPr>
              <w:t xml:space="preserve">$20,000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06" w:rsidRPr="00A42906" w:rsidRDefault="00A4290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42906">
              <w:rPr>
                <w:rFonts w:ascii="Calibri" w:hAnsi="Calibri" w:cs="Calibri"/>
                <w:b/>
                <w:color w:val="000000"/>
              </w:rPr>
              <w:t xml:space="preserve">$43,000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06" w:rsidRPr="00A42906" w:rsidRDefault="00A4290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42906">
              <w:rPr>
                <w:rFonts w:ascii="Calibri" w:hAnsi="Calibri" w:cs="Calibri"/>
                <w:b/>
                <w:color w:val="000000"/>
              </w:rPr>
              <w:t xml:space="preserve">$190,000 </w:t>
            </w:r>
          </w:p>
        </w:tc>
      </w:tr>
    </w:tbl>
    <w:p w:rsidR="003A4813" w:rsidRPr="003A4813" w:rsidRDefault="003A4813" w:rsidP="003A4813">
      <w:pPr>
        <w:jc w:val="center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3A4813" w:rsidRPr="003A4813" w:rsidRDefault="003A4813" w:rsidP="003A4813">
      <w:pPr>
        <w:jc w:val="center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3A4813" w:rsidRPr="003A4813" w:rsidRDefault="003A4813" w:rsidP="003A4813">
      <w:pPr>
        <w:jc w:val="center"/>
        <w:rPr>
          <w:rFonts w:ascii="Times Roman" w:eastAsia="Times New Roman" w:hAnsi="Times Roman" w:cs="Times New Roman"/>
          <w:snapToGrid w:val="0"/>
          <w:sz w:val="24"/>
          <w:szCs w:val="20"/>
        </w:rPr>
      </w:pPr>
    </w:p>
    <w:p w:rsidR="003A4813" w:rsidRPr="003A4813" w:rsidRDefault="003A4813" w:rsidP="003A481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813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Policy Committee of the Ithaca-Tompkins County Transportation Council approved this amendment on December </w:t>
      </w:r>
      <w:r w:rsidR="00A4290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3A4813">
        <w:rPr>
          <w:rFonts w:ascii="Times New Roman" w:eastAsia="Times New Roman" w:hAnsi="Times New Roman" w:cs="Times New Roman"/>
          <w:bCs/>
          <w:sz w:val="24"/>
          <w:szCs w:val="24"/>
        </w:rPr>
        <w:t>, 201</w:t>
      </w:r>
      <w:r w:rsidR="00A42906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3A48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B7B17" w:rsidRPr="009F3D1C" w:rsidRDefault="003B7B17" w:rsidP="009F3D1C">
      <w:pPr>
        <w:rPr>
          <w:rFonts w:ascii="Times New Roman" w:hAnsi="Times New Roman" w:cs="Times New Roman"/>
          <w:sz w:val="24"/>
          <w:szCs w:val="24"/>
        </w:rPr>
      </w:pPr>
    </w:p>
    <w:sectPr w:rsidR="003B7B17" w:rsidRPr="009F3D1C" w:rsidSect="009F3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7047"/>
    <w:multiLevelType w:val="hybridMultilevel"/>
    <w:tmpl w:val="609242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F7479"/>
    <w:multiLevelType w:val="hybridMultilevel"/>
    <w:tmpl w:val="9C9C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wMTY2NDG0NDAxMrFU0lEKTi0uzszPAykwrAUAKoYXeCwAAAA="/>
  </w:docVars>
  <w:rsids>
    <w:rsidRoot w:val="009F3D1C"/>
    <w:rsid w:val="003A4813"/>
    <w:rsid w:val="003B7B17"/>
    <w:rsid w:val="005A51E8"/>
    <w:rsid w:val="005C418D"/>
    <w:rsid w:val="00677DA7"/>
    <w:rsid w:val="009F3D1C"/>
    <w:rsid w:val="00A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41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41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Mengel, Dwight (DFA3-A50)</dc:creator>
  <cp:lastModifiedBy>Mengel, Dwight (DFA3-A50)</cp:lastModifiedBy>
  <cp:revision>2</cp:revision>
  <dcterms:created xsi:type="dcterms:W3CDTF">2016-12-12T22:04:00Z</dcterms:created>
  <dcterms:modified xsi:type="dcterms:W3CDTF">2016-12-12T22:04:00Z</dcterms:modified>
</cp:coreProperties>
</file>